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27CD" w14:textId="77777777" w:rsidR="00ED4D36" w:rsidRDefault="00ED4D36" w:rsidP="00ED4D36"/>
    <w:p w14:paraId="0FC5D24B" w14:textId="77777777" w:rsidR="00ED4D36" w:rsidRPr="00ED4D36" w:rsidRDefault="00ED4D36" w:rsidP="00ED4D36">
      <w:pPr>
        <w:rPr>
          <w:i/>
          <w:iCs/>
        </w:rPr>
      </w:pPr>
      <w:r w:rsidRPr="00ED4D36">
        <w:rPr>
          <w:i/>
          <w:iCs/>
        </w:rPr>
        <w:t>Destinataire/Nom de la ville                                                           Le :</w:t>
      </w:r>
    </w:p>
    <w:p w14:paraId="33215399" w14:textId="77777777" w:rsidR="00ED4D36" w:rsidRDefault="00ED4D36" w:rsidP="00ED4D36">
      <w:r>
        <w:t xml:space="preserve"> </w:t>
      </w:r>
    </w:p>
    <w:p w14:paraId="2090F1F2" w14:textId="77777777" w:rsidR="00ED4D36" w:rsidRPr="00ED4D36" w:rsidRDefault="00ED4D36" w:rsidP="00ED4D36">
      <w:pPr>
        <w:rPr>
          <w:b/>
          <w:bCs/>
        </w:rPr>
      </w:pPr>
      <w:r w:rsidRPr="00ED4D36">
        <w:rPr>
          <w:b/>
          <w:bCs/>
        </w:rPr>
        <w:t xml:space="preserve">Objet: Recommandations pour une prise de conscience concernant la participation de la mairie aux manifestations publiques relatives au Ramadan </w:t>
      </w:r>
    </w:p>
    <w:p w14:paraId="739E90D3" w14:textId="77777777" w:rsidR="00ED4D36" w:rsidRDefault="00ED4D36" w:rsidP="00ED4D36"/>
    <w:p w14:paraId="2526EC89" w14:textId="77777777" w:rsidR="00ED4D36" w:rsidRDefault="00ED4D36" w:rsidP="00ED4D36">
      <w:r>
        <w:t>Nous vous exhortons respectueusement à reconsidérer tout soutien que vous envisagez d'apporter aux événements publics liés au Ramadan. Notre préoccupation concerne les textes scripturaires islamiques et le contexte historique, qui mettent en évidence le caractère problématique de toute promotion publique des pratiques du ramadan au sein d’une société non islamique.</w:t>
      </w:r>
    </w:p>
    <w:p w14:paraId="614CFD3D" w14:textId="77777777" w:rsidR="00ED4D36" w:rsidRDefault="00ED4D36" w:rsidP="00ED4D36"/>
    <w:p w14:paraId="619BF336" w14:textId="77777777" w:rsidR="00ED4D36" w:rsidRDefault="00ED4D36" w:rsidP="00ED4D36">
      <w:r>
        <w:t>Le Ramadan constitue un événement islamique qui commémore les révélations coraniques reçues par Mahomet. En termes simples, il s’agit d’une célébration de la doctrine islamique — du Coran lui-même, mais également des écrits relatifs à la vie de Mahomet (Hadith et Sira) —, le Coran enjoignant à quatre-vingt-neuf reprises aux musulmans d’imiter Mahomet en tout point.</w:t>
      </w:r>
    </w:p>
    <w:p w14:paraId="36CE4798" w14:textId="77777777" w:rsidR="00ED4D36" w:rsidRDefault="00ED4D36" w:rsidP="00ED4D36"/>
    <w:p w14:paraId="229D580E" w14:textId="77777777" w:rsidR="00ED4D36" w:rsidRDefault="00ED4D36" w:rsidP="00ED4D36">
      <w:r>
        <w:t>Les points suivants sont considérés comme particulièrement problématiques:</w:t>
      </w:r>
    </w:p>
    <w:p w14:paraId="4E2582FA" w14:textId="77777777" w:rsidR="00ED4D36" w:rsidRDefault="00ED4D36" w:rsidP="00ED4D36"/>
    <w:p w14:paraId="0947CFA8" w14:textId="77777777" w:rsidR="00ED4D36" w:rsidRDefault="00ED4D36" w:rsidP="00ED4D36">
      <w:r w:rsidRPr="00ED4D36">
        <w:rPr>
          <w:b/>
          <w:bCs/>
        </w:rPr>
        <w:t>1. Caractère exclusif et intolérant des écritures islamiques :</w:t>
      </w:r>
      <w:r>
        <w:t xml:space="preserve"> Les textes islamiques comportent de nombreux versets qui dépeignent les non-musulmans (qualifiés de koufars) sous un jour négatif. Par exemple, le Coran autorise la terreur à leur égard (Coran 8:12), prescrit leur humiliation (Coran 9:29) et interdit de les prendre pour alliés (Coran 3:28 ; 4:144). Une caution publique apportée au Ramadan risque ainsi, de manière involontaire, de légitimer une idéologie politique islamique qui exclut explicitement et dénigre les non-musulmans.</w:t>
      </w:r>
    </w:p>
    <w:p w14:paraId="22F606D9" w14:textId="77777777" w:rsidR="00ED4D36" w:rsidRPr="00ED4D36" w:rsidRDefault="00ED4D36" w:rsidP="00ED4D36">
      <w:pPr>
        <w:rPr>
          <w:b/>
          <w:bCs/>
        </w:rPr>
      </w:pPr>
      <w:r w:rsidRPr="00ED4D36">
        <w:rPr>
          <w:b/>
          <w:bCs/>
        </w:rPr>
        <w:t xml:space="preserve"> </w:t>
      </w:r>
    </w:p>
    <w:p w14:paraId="537169C1" w14:textId="77777777" w:rsidR="00ED4D36" w:rsidRDefault="00ED4D36" w:rsidP="00ED4D36">
      <w:r w:rsidRPr="00ED4D36">
        <w:rPr>
          <w:b/>
          <w:bCs/>
        </w:rPr>
        <w:t>2. Le Ramadan et la violence historique :</w:t>
      </w:r>
      <w:r>
        <w:t xml:space="preserve"> Le Ramadan est historiquement associé à d’importantes conquêtes islamiques et à des phases de jihad violent. Les campagnes militaires victorieuses menées par Mahomet durant le mois du Ramadan — notamment la bataille de Badr (an 624) et la conquête de La Mecque (an 630) — ont établi un précédent consistant à mener le jihad contre les non-musulmans. Selon la biographie de Mahomet (la Sira), la bataille de Badr fut une attaque contre une caravane de païens mecquois transportant des marchandises en provenance de Syrie. Il s’agit du premier jihad d’envergure dirigé par Mahomet contre des non-musulmans, et il eut lieu durant le Ramadan. La première célébration de l’Aïd marqua la fin du Ramadan suivant cette bataille, en commémoration de la victoire sur les mecquois. Dès lors, le Ramadan ne saurait être considéré comme neutre : il s’agit d’un acte doctrinal intrinsèquement lié à l’expansion du pouvoir politique islamique. Le jihad est soutenu par de nombreux versets coraniques, tels que Coran 2:216 (qui ordonne explicitement le combat contre les non-musulmans). Selon le Coran, Allah préfère ceux qui tuent et se font tuer pour sa cause (4:95) et leur accorde l’entrée au paradis (3:169).</w:t>
      </w:r>
    </w:p>
    <w:p w14:paraId="40F2F06C" w14:textId="77777777" w:rsidR="00ED4D36" w:rsidRDefault="00ED4D36" w:rsidP="00ED4D36">
      <w:r>
        <w:t xml:space="preserve"> </w:t>
      </w:r>
    </w:p>
    <w:p w14:paraId="42FE3ADF" w14:textId="77777777" w:rsidR="00ED4D36" w:rsidRDefault="00ED4D36" w:rsidP="00ED4D36">
      <w:r w:rsidRPr="00ED4D36">
        <w:rPr>
          <w:b/>
          <w:bCs/>
        </w:rPr>
        <w:t>3. Doctrine islamique et coexistence :</w:t>
      </w:r>
      <w:r>
        <w:t xml:space="preserve"> Bien que les manifestations interreligieuses puissent sembler favoriser l’harmonie, la doctrine islamique les appréhende comme relevant de la da’wa — l’invitation stratégique pour convertir et propager l’islam — </w:t>
      </w:r>
      <w:r>
        <w:lastRenderedPageBreak/>
        <w:t>plutôt que comme une invitation sincère à la coexistence. Plus de la moitié (51 %) de la doctrine islamique porte sur les modalités de traitement des non-musulmans : il s’agit de l’islam politique. Dans cette partie, les musulmans sont constamment dissuadés de nouer des liens d’amitié avec les non-musulmans (Coran 3:28 ; 5:51 ; 4:144) et sommés de poursuivre le jihad contre eux jusqu’à ce que le monde entier se soumette à Mahomet et à Allah (Hadith Bukhari 2946 ; Coran 9:29). La doctrine elle-même constitue donc un obstacle structurel à l’intégration et à la coexistence véritable</w:t>
      </w:r>
    </w:p>
    <w:p w14:paraId="2E255C79" w14:textId="77777777" w:rsidR="00ED4D36" w:rsidRDefault="00ED4D36" w:rsidP="00ED4D36">
      <w:r>
        <w:t xml:space="preserve"> </w:t>
      </w:r>
    </w:p>
    <w:p w14:paraId="6A59512A" w14:textId="77777777" w:rsidR="00ED4D36" w:rsidRDefault="00ED4D36" w:rsidP="00ED4D36">
      <w:r w:rsidRPr="00ED4D36">
        <w:rPr>
          <w:b/>
          <w:bCs/>
        </w:rPr>
        <w:t>4. Renforcement de la liberté de choix au sein de la sphère islamique :</w:t>
      </w:r>
      <w:r>
        <w:t xml:space="preserve"> Au sein des sociétés musulmanes existe une crainte profonde de quitter l’islam ou de le critiquer, crainte alimentée par les prescriptions doctrinales ordonnant la mise à mort de l’apostat (Hadith Bukhari 6922) ou de celui qui critique l’islam (Hadith Bukhari 3031). Le soutien public au Ramadan renforce cette coercition sociale et complique l’émancipation des individus musulmans qui souhaitent s’affranchir de pratiques doctrinales contraires à leurs valeurs personnelles. L’abstention de toute promotion publique du Ramadan contribuerait à créer un espace sécurisé pour ceux qui aspirent à vivre en dehors de cette contrainte doctrinale.</w:t>
      </w:r>
    </w:p>
    <w:p w14:paraId="7F8BB5D6" w14:textId="77777777" w:rsidR="00ED4D36" w:rsidRDefault="00ED4D36" w:rsidP="00ED4D36">
      <w:r>
        <w:t xml:space="preserve"> </w:t>
      </w:r>
    </w:p>
    <w:p w14:paraId="2DCBBD11" w14:textId="77777777" w:rsidR="00ED4D36" w:rsidRDefault="00ED4D36" w:rsidP="00ED4D36">
      <w:r w:rsidRPr="00ED4D36">
        <w:rPr>
          <w:b/>
          <w:bCs/>
        </w:rPr>
        <w:t>5. Les repas de rupture du jeun (iftar/ftour) partagés comme appels à l’islam :</w:t>
      </w:r>
      <w:r>
        <w:t xml:space="preserve"> Les non-musulmans et surtout les représentants politiques sont fréquemment invités à des repas de rupture du jeun et à d’autres manifestations publiques durant le Ramadan. Ces invitations s’inscrivent dans l’appel à l’islam (da’wa) et visent la conversion ou la soumission à l’islam ; elles ne constituent donc pas un échange culturel neutre. Le partage de repas de rupture du jeun avec des non-musulmans est autorisé précisément dans le but d’inviter ces derniers à l’islam ou de les rendre plus réceptifs à celui-ci — sans quoi il ne serait pas permis. Les non-musulmans qui par leur présence participent à ces célébrations, particulièrement dans des espaces islamiques (mosquées, centres islamiques), contribuent à légitimer de nombreuses pratiques que la doctrine islamique considère comme normales, telles que le risque de violences physiques pour avoir quitté l'islam (Hadith Bukhari 6922, Coran 4:89-90), le mariage avec des enfants (Hadith Muslim 1422b, Hadith Bukhari 5133), les abus et l'oppression des femmes (Coran 33:59, 4:34), les mutilations génitales féminines (Coran 30:30 → Hadith Bukhari 5891) ou l'esclavage (sexuel) (Hadith Bukhari 6603, Coran 4:3).</w:t>
      </w:r>
    </w:p>
    <w:p w14:paraId="7C21056C" w14:textId="77777777" w:rsidR="00ED4D36" w:rsidRDefault="00ED4D36" w:rsidP="00ED4D36"/>
    <w:p w14:paraId="19D9EEAE" w14:textId="77777777" w:rsidR="00ED4D36" w:rsidRDefault="00ED4D36" w:rsidP="00ED4D36">
      <w:r>
        <w:t>Il convient par ailleurs de souligner que Mahomet accordait une importance particulière au traitement des diplomates non musulmans : l’un de ses derniers ordres, prononcé sur son lit de mort, enjoignait les musulmans de continuer à leur offrir des cadeaux (Hadith Bukhari 3053). Accepter de tels cadeaux et invitations contribue à créer l’illusion que la doctrine islamique est bienveillante envers les non-musulmans.</w:t>
      </w:r>
    </w:p>
    <w:p w14:paraId="58A65902" w14:textId="77777777" w:rsidR="00ED4D36" w:rsidRDefault="00ED4D36" w:rsidP="00ED4D36"/>
    <w:p w14:paraId="00B18CBA" w14:textId="4A95E1D0" w:rsidR="00ED4D36" w:rsidRDefault="00ED4D36" w:rsidP="00ED4D36">
      <w:r w:rsidRPr="00ED4D36">
        <w:rPr>
          <w:b/>
          <w:bCs/>
        </w:rPr>
        <w:t>Principe de nécessité (daroura)</w:t>
      </w:r>
      <w:r>
        <w:rPr>
          <w:b/>
          <w:bCs/>
        </w:rPr>
        <w:t xml:space="preserve"> </w:t>
      </w:r>
      <w:r w:rsidRPr="00ED4D36">
        <w:rPr>
          <w:b/>
          <w:bCs/>
        </w:rPr>
        <w:t>:</w:t>
      </w:r>
      <w:r>
        <w:t xml:space="preserve"> La doctrine et la jurisprudence islamiques autorisent les membres de la communauté islamique à s’abstenir des obligations du Ramadan lorsque les circonstances extérieures l’empêchent. Par conséquent, l’absence de décorations ou d’événements publics de la mairie ne porte pas atteinte à la liberté religieuse.</w:t>
      </w:r>
    </w:p>
    <w:p w14:paraId="36707DBC" w14:textId="77777777" w:rsidR="00ED4D36" w:rsidRDefault="00ED4D36" w:rsidP="00ED4D36">
      <w:r>
        <w:t xml:space="preserve">En conclusion, s’abstenir de promouvoir publiquement le Ramadan permettrait à votre commune de demeurer fidèle à ses engagements en matière d’inclusivité et de </w:t>
      </w:r>
      <w:r>
        <w:lastRenderedPageBreak/>
        <w:t>véritable sensibilité culturelle. Nous vous prions instamment  d’examiner attentivement cette perspective.</w:t>
      </w:r>
    </w:p>
    <w:p w14:paraId="149457B0" w14:textId="77777777" w:rsidR="00ED4D36" w:rsidRDefault="00ED4D36" w:rsidP="00ED4D36">
      <w:r>
        <w:t xml:space="preserve"> </w:t>
      </w:r>
    </w:p>
    <w:p w14:paraId="19F4B755" w14:textId="77777777" w:rsidR="00ED4D36" w:rsidRDefault="00ED4D36" w:rsidP="00ED4D36">
      <w:r w:rsidRPr="00ED4D36">
        <w:rPr>
          <w:b/>
          <w:bCs/>
        </w:rPr>
        <w:t>Un rapport complet en anglais sur la question du Ramadan est disponible ici pour une lecture approfondie :</w:t>
      </w:r>
      <w:r>
        <w:t xml:space="preserve"> https://www.cspii.org/learn-political-islam/new-articles/ramadan-for-non-muslims-a-kafirs-guide/</w:t>
      </w:r>
    </w:p>
    <w:p w14:paraId="5C29FACA" w14:textId="77777777" w:rsidR="00ED4D36" w:rsidRDefault="00ED4D36" w:rsidP="00ED4D36">
      <w:r>
        <w:t xml:space="preserve"> </w:t>
      </w:r>
    </w:p>
    <w:p w14:paraId="5186F917" w14:textId="77777777" w:rsidR="00ED4D36" w:rsidRDefault="00ED4D36" w:rsidP="00ED4D36">
      <w:r>
        <w:t xml:space="preserve"> </w:t>
      </w:r>
    </w:p>
    <w:p w14:paraId="420EBBCD" w14:textId="77777777" w:rsidR="00ED4D36" w:rsidRDefault="00ED4D36" w:rsidP="00ED4D36">
      <w:r>
        <w:t>Bien sincèrement</w:t>
      </w:r>
    </w:p>
    <w:p w14:paraId="4A477626" w14:textId="77777777" w:rsidR="00ED4D36" w:rsidRDefault="00ED4D36" w:rsidP="00ED4D36"/>
    <w:p w14:paraId="4A6261CC" w14:textId="77777777" w:rsidR="006D17A3" w:rsidRDefault="006D17A3"/>
    <w:sectPr w:rsidR="006D17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36"/>
    <w:rsid w:val="006D17A3"/>
    <w:rsid w:val="00A601F9"/>
    <w:rsid w:val="00AD54A0"/>
    <w:rsid w:val="00ED4D36"/>
    <w:rsid w:val="00F5033B"/>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6699E475"/>
  <w15:chartTrackingRefBased/>
  <w15:docId w15:val="{2D8648FC-416B-A04B-8E98-2C27A22E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36"/>
    <w:rPr>
      <w:rFonts w:eastAsiaTheme="majorEastAsia" w:cstheme="majorBidi"/>
      <w:color w:val="272727" w:themeColor="text1" w:themeTint="D8"/>
    </w:rPr>
  </w:style>
  <w:style w:type="paragraph" w:styleId="Title">
    <w:name w:val="Title"/>
    <w:basedOn w:val="Normal"/>
    <w:next w:val="Normal"/>
    <w:link w:val="TitleChar"/>
    <w:uiPriority w:val="10"/>
    <w:qFormat/>
    <w:rsid w:val="00ED4D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D36"/>
    <w:rPr>
      <w:i/>
      <w:iCs/>
      <w:color w:val="404040" w:themeColor="text1" w:themeTint="BF"/>
    </w:rPr>
  </w:style>
  <w:style w:type="paragraph" w:styleId="ListParagraph">
    <w:name w:val="List Paragraph"/>
    <w:basedOn w:val="Normal"/>
    <w:uiPriority w:val="34"/>
    <w:qFormat/>
    <w:rsid w:val="00ED4D36"/>
    <w:pPr>
      <w:ind w:left="720"/>
      <w:contextualSpacing/>
    </w:pPr>
  </w:style>
  <w:style w:type="character" w:styleId="IntenseEmphasis">
    <w:name w:val="Intense Emphasis"/>
    <w:basedOn w:val="DefaultParagraphFont"/>
    <w:uiPriority w:val="21"/>
    <w:qFormat/>
    <w:rsid w:val="00ED4D36"/>
    <w:rPr>
      <w:i/>
      <w:iCs/>
      <w:color w:val="0F4761" w:themeColor="accent1" w:themeShade="BF"/>
    </w:rPr>
  </w:style>
  <w:style w:type="paragraph" w:styleId="IntenseQuote">
    <w:name w:val="Intense Quote"/>
    <w:basedOn w:val="Normal"/>
    <w:next w:val="Normal"/>
    <w:link w:val="IntenseQuoteChar"/>
    <w:uiPriority w:val="30"/>
    <w:qFormat/>
    <w:rsid w:val="00ED4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36"/>
    <w:rPr>
      <w:i/>
      <w:iCs/>
      <w:color w:val="0F4761" w:themeColor="accent1" w:themeShade="BF"/>
    </w:rPr>
  </w:style>
  <w:style w:type="character" w:styleId="IntenseReference">
    <w:name w:val="Intense Reference"/>
    <w:basedOn w:val="DefaultParagraphFont"/>
    <w:uiPriority w:val="32"/>
    <w:qFormat/>
    <w:rsid w:val="00ED4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5893</Characters>
  <Application>Microsoft Office Word</Application>
  <DocSecurity>0</DocSecurity>
  <Lines>105</Lines>
  <Paragraphs>17</Paragraphs>
  <ScaleCrop>false</ScaleCrop>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Podlipný</dc:creator>
  <cp:keywords/>
  <dc:description/>
  <cp:lastModifiedBy>Milan Podlipný</cp:lastModifiedBy>
  <cp:revision>1</cp:revision>
  <dcterms:created xsi:type="dcterms:W3CDTF">2026-02-21T12:21:00Z</dcterms:created>
  <dcterms:modified xsi:type="dcterms:W3CDTF">2026-02-21T12:23:00Z</dcterms:modified>
</cp:coreProperties>
</file>