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E5C0" w14:textId="2B4D3ACE" w:rsidR="00C340E1" w:rsidRDefault="00000000">
      <w:pPr>
        <w:spacing w:beforeAutospacing="1" w:afterAutospacing="1"/>
        <w:rPr>
          <w:rFonts w:ascii="Times New Roman" w:eastAsia="Times New Roman" w:hAnsi="Times New Roman" w:cs="Times New Roman"/>
          <w:color w:val="000000"/>
          <w:lang w:val="de-DE" w:eastAsia="en-GB"/>
        </w:rPr>
      </w:pPr>
      <w:r>
        <w:rPr>
          <w:rFonts w:ascii="Times New Roman" w:eastAsia="Times New Roman" w:hAnsi="Times New Roman" w:cs="Times New Roman"/>
          <w:color w:val="000000"/>
          <w:lang w:val="de-DE" w:eastAsia="en-GB"/>
        </w:rPr>
        <w:t>An: NAME DER STADT DATUM</w:t>
      </w:r>
    </w:p>
    <w:p w14:paraId="0FECD1DE" w14:textId="77777777" w:rsidR="00C340E1" w:rsidRPr="00A91B5B" w:rsidRDefault="00000000">
      <w:pPr>
        <w:spacing w:beforeAutospacing="1" w:afterAutospacing="1"/>
        <w:rPr>
          <w:rFonts w:ascii="Times New Roman" w:eastAsia="Times New Roman" w:hAnsi="Times New Roman" w:cs="Times New Roman"/>
          <w:b/>
          <w:bCs/>
          <w:color w:val="000000"/>
          <w:lang w:val="de-DE" w:eastAsia="en-GB"/>
        </w:rPr>
      </w:pPr>
      <w:r w:rsidRPr="00A91B5B">
        <w:rPr>
          <w:rFonts w:ascii="Times New Roman" w:eastAsia="Times New Roman" w:hAnsi="Times New Roman" w:cs="Times New Roman"/>
          <w:b/>
          <w:bCs/>
          <w:color w:val="000000"/>
          <w:lang w:val="de-DE" w:eastAsia="en-GB"/>
        </w:rPr>
        <w:t>Betreff: </w:t>
      </w:r>
      <w:bookmarkStart w:id="0" w:name="__DdeLink__46_3583984516"/>
      <w:r w:rsidRPr="00A91B5B">
        <w:rPr>
          <w:rFonts w:ascii="Times New Roman" w:eastAsia="Times New Roman" w:hAnsi="Times New Roman" w:cs="Times New Roman"/>
          <w:b/>
          <w:bCs/>
          <w:color w:val="000000"/>
          <w:lang w:val="de-DE" w:eastAsia="en-GB"/>
        </w:rPr>
        <w:t xml:space="preserve">Eine Empfehlung, die Ramadan-Dekorationen und -Veranstaltungen im öffentlichen Raum zu vermeiden, sowie Einladungen zu den Iftar-Essen </w:t>
      </w:r>
      <w:bookmarkEnd w:id="0"/>
      <w:r w:rsidRPr="00A91B5B">
        <w:rPr>
          <w:rFonts w:ascii="Times New Roman" w:eastAsia="Times New Roman" w:hAnsi="Times New Roman" w:cs="Times New Roman"/>
          <w:b/>
          <w:bCs/>
          <w:color w:val="000000"/>
          <w:lang w:val="de-DE" w:eastAsia="en-GB"/>
        </w:rPr>
        <w:t>nicht zu akzeptieren.</w:t>
      </w:r>
    </w:p>
    <w:p w14:paraId="0B3BE055" w14:textId="77777777" w:rsidR="00C340E1" w:rsidRDefault="00000000">
      <w:pPr>
        <w:spacing w:beforeAutospacing="1" w:afterAutospacing="1"/>
        <w:rPr>
          <w:rFonts w:ascii="Times New Roman" w:eastAsia="Times New Roman" w:hAnsi="Times New Roman" w:cs="Times New Roman"/>
          <w:color w:val="000000"/>
          <w:lang w:val="de-DE" w:eastAsia="en-GB"/>
        </w:rPr>
      </w:pPr>
      <w:r>
        <w:rPr>
          <w:rFonts w:ascii="Times New Roman" w:eastAsia="Times New Roman" w:hAnsi="Times New Roman" w:cs="Times New Roman"/>
          <w:color w:val="000000"/>
          <w:lang w:val="de-DE" w:eastAsia="en-GB"/>
        </w:rPr>
        <w:t>Wir ersuchen die Stadtverwaltung von STADTNAME höflich, ihre Pläne für Ramadan-Dekorationen und öffentliche Veranstaltungen zu überdenken. Unsere fundierten Bedenken fußen auf islamischen Schriften und den auch heute gültigen historischen Zusammenhängen, die die problematische Natur einer öffentlichen Befürwortung von Ramadan-Praktiken in einer nicht-islamischen Gesellschaft aufzeigen.</w:t>
      </w:r>
    </w:p>
    <w:p w14:paraId="1319D694" w14:textId="77777777" w:rsidR="00C340E1" w:rsidRDefault="00000000">
      <w:pPr>
        <w:spacing w:beforeAutospacing="1" w:afterAutospacing="1"/>
        <w:rPr>
          <w:rFonts w:ascii="Times New Roman" w:eastAsia="Times New Roman" w:hAnsi="Times New Roman" w:cs="Times New Roman"/>
          <w:color w:val="000000"/>
          <w:lang w:val="de-DE" w:eastAsia="en-GB"/>
        </w:rPr>
      </w:pPr>
      <w:r>
        <w:rPr>
          <w:rFonts w:ascii="Times New Roman" w:eastAsia="Times New Roman" w:hAnsi="Times New Roman" w:cs="Times New Roman"/>
          <w:color w:val="000000"/>
          <w:lang w:val="de-DE" w:eastAsia="en-GB"/>
        </w:rPr>
        <w:t xml:space="preserve">Der Ramadan ist ein islamisches Ereignis, welches an die Offenbarung des </w:t>
      </w:r>
      <w:hyperlink r:id="rId4">
        <w:r>
          <w:rPr>
            <w:rFonts w:ascii="Times New Roman" w:eastAsia="Times New Roman" w:hAnsi="Times New Roman" w:cs="Times New Roman"/>
            <w:lang w:val="de-DE" w:eastAsia="en-GB"/>
          </w:rPr>
          <w:t>Koran</w:t>
        </w:r>
      </w:hyperlink>
      <w:r>
        <w:rPr>
          <w:rFonts w:ascii="Times New Roman" w:eastAsia="Times New Roman" w:hAnsi="Times New Roman" w:cs="Times New Roman"/>
          <w:color w:val="000000"/>
          <w:lang w:val="de-DE" w:eastAsia="en-GB"/>
        </w:rPr>
        <w:t xml:space="preserve"> an </w:t>
      </w:r>
      <w:hyperlink r:id="rId5">
        <w:r>
          <w:rPr>
            <w:rFonts w:ascii="Times New Roman" w:eastAsia="Times New Roman" w:hAnsi="Times New Roman" w:cs="Times New Roman"/>
            <w:lang w:val="de-DE" w:eastAsia="en-GB"/>
          </w:rPr>
          <w:t>Mohammed</w:t>
        </w:r>
      </w:hyperlink>
      <w:r>
        <w:rPr>
          <w:rFonts w:ascii="Times New Roman" w:eastAsia="Times New Roman" w:hAnsi="Times New Roman" w:cs="Times New Roman"/>
          <w:color w:val="000000"/>
          <w:lang w:val="de-DE" w:eastAsia="en-GB"/>
        </w:rPr>
        <w:t xml:space="preserve"> erinnert. Einfach ausgedrückt, handelt es sich um ein Fest der islamischen Lehre – des Koran und auch der Mohammed gewidmeten Schriften (seine Taten – </w:t>
      </w:r>
      <w:proofErr w:type="gramStart"/>
      <w:r>
        <w:rPr>
          <w:rFonts w:ascii="Times New Roman" w:eastAsia="Times New Roman" w:hAnsi="Times New Roman" w:cs="Times New Roman"/>
          <w:color w:val="000000"/>
          <w:lang w:val="de-DE" w:eastAsia="en-GB"/>
        </w:rPr>
        <w:t>die Hadith</w:t>
      </w:r>
      <w:proofErr w:type="gramEnd"/>
      <w:r>
        <w:rPr>
          <w:rFonts w:ascii="Times New Roman" w:eastAsia="Times New Roman" w:hAnsi="Times New Roman" w:cs="Times New Roman"/>
          <w:color w:val="000000"/>
          <w:lang w:val="de-DE" w:eastAsia="en-GB"/>
        </w:rPr>
        <w:t xml:space="preserve"> und seine Biografie, die Sira). </w:t>
      </w:r>
      <w:hyperlink r:id="rId6">
        <w:r>
          <w:rPr>
            <w:rFonts w:ascii="Times New Roman" w:eastAsia="Times New Roman" w:hAnsi="Times New Roman" w:cs="Times New Roman"/>
            <w:lang w:val="de-DE" w:eastAsia="en-GB"/>
          </w:rPr>
          <w:t>89-mal fordert</w:t>
        </w:r>
      </w:hyperlink>
      <w:r>
        <w:rPr>
          <w:rFonts w:ascii="Times New Roman" w:eastAsia="Times New Roman" w:hAnsi="Times New Roman" w:cs="Times New Roman"/>
          <w:color w:val="000000"/>
          <w:lang w:val="de-DE" w:eastAsia="en-GB"/>
        </w:rPr>
        <w:t xml:space="preserve"> der Koran, dass Muslime Mohammed in jeder Hinsicht nachahmen. </w:t>
      </w:r>
    </w:p>
    <w:p w14:paraId="614999FF" w14:textId="77777777" w:rsidR="00C340E1" w:rsidRDefault="00000000">
      <w:pPr>
        <w:spacing w:beforeAutospacing="1" w:afterAutospacing="1"/>
        <w:rPr>
          <w:rFonts w:ascii="Times New Roman" w:eastAsia="Times New Roman" w:hAnsi="Times New Roman" w:cs="Times New Roman"/>
          <w:b/>
          <w:bCs/>
          <w:color w:val="000000"/>
          <w:lang w:val="de-DE" w:eastAsia="en-GB"/>
        </w:rPr>
      </w:pPr>
      <w:r>
        <w:rPr>
          <w:rFonts w:ascii="Times New Roman" w:eastAsia="Times New Roman" w:hAnsi="Times New Roman" w:cs="Times New Roman"/>
          <w:b/>
          <w:bCs/>
          <w:color w:val="000000"/>
          <w:lang w:val="de-DE" w:eastAsia="en-GB"/>
        </w:rPr>
        <w:t>Die folgenden Punkte sollten als äußerst problematisch angesehen werden: </w:t>
      </w:r>
    </w:p>
    <w:p w14:paraId="5FA5A83F" w14:textId="77777777" w:rsidR="00C340E1" w:rsidRDefault="00000000">
      <w:pPr>
        <w:spacing w:beforeAutospacing="1" w:afterAutospacing="1"/>
        <w:rPr>
          <w:rFonts w:ascii="Times New Roman" w:eastAsia="Times New Roman" w:hAnsi="Times New Roman" w:cs="Times New Roman"/>
          <w:color w:val="000000"/>
          <w:lang w:val="de-DE" w:eastAsia="en-GB"/>
        </w:rPr>
      </w:pPr>
      <w:r>
        <w:rPr>
          <w:rFonts w:ascii="Times New Roman" w:eastAsia="Times New Roman" w:hAnsi="Times New Roman" w:cs="Times New Roman"/>
          <w:b/>
          <w:bCs/>
          <w:color w:val="000000"/>
          <w:lang w:val="de-DE" w:eastAsia="en-GB"/>
        </w:rPr>
        <w:t>1. Exklusivität und Intoleranz der Schriften</w:t>
      </w:r>
      <w:r>
        <w:rPr>
          <w:rFonts w:ascii="Times New Roman" w:eastAsia="Times New Roman" w:hAnsi="Times New Roman" w:cs="Times New Roman"/>
          <w:color w:val="000000"/>
          <w:lang w:val="de-DE" w:eastAsia="en-GB"/>
        </w:rPr>
        <w:t>: Islamische Schriften enthalten zahlreiche Verse, die Nicht-Muslime (</w:t>
      </w:r>
      <w:proofErr w:type="spellStart"/>
      <w:r>
        <w:rPr>
          <w:rFonts w:ascii="Times New Roman" w:eastAsia="Times New Roman" w:hAnsi="Times New Roman" w:cs="Times New Roman"/>
          <w:color w:val="000000"/>
          <w:lang w:val="de-DE" w:eastAsia="en-GB"/>
        </w:rPr>
        <w:t>Kafire</w:t>
      </w:r>
      <w:proofErr w:type="spellEnd"/>
      <w:r>
        <w:rPr>
          <w:rFonts w:ascii="Times New Roman" w:eastAsia="Times New Roman" w:hAnsi="Times New Roman" w:cs="Times New Roman"/>
          <w:color w:val="000000"/>
          <w:lang w:val="de-DE" w:eastAsia="en-GB"/>
        </w:rPr>
        <w:t xml:space="preserve">) negativ beschreiben. So legt der Koran zum Beispiel fest, dass Nicht-Muslime terrorisiert (Koran 8:12) und gedemütigt (Koran 9:29) werden dürfen und dass Muslime sich nicht mit </w:t>
      </w:r>
      <w:proofErr w:type="spellStart"/>
      <w:r>
        <w:rPr>
          <w:rFonts w:ascii="Times New Roman" w:eastAsia="Times New Roman" w:hAnsi="Times New Roman" w:cs="Times New Roman"/>
          <w:color w:val="000000"/>
          <w:lang w:val="de-DE" w:eastAsia="en-GB"/>
        </w:rPr>
        <w:t>Kafiren</w:t>
      </w:r>
      <w:proofErr w:type="spellEnd"/>
      <w:r>
        <w:rPr>
          <w:rFonts w:ascii="Times New Roman" w:eastAsia="Times New Roman" w:hAnsi="Times New Roman" w:cs="Times New Roman"/>
          <w:color w:val="000000"/>
          <w:lang w:val="de-DE" w:eastAsia="en-GB"/>
        </w:rPr>
        <w:t xml:space="preserve"> anfreunden sollen (Koran 3:28, 4:144). Die öffentliche Befürwortung </w:t>
      </w:r>
      <w:proofErr w:type="gramStart"/>
      <w:r>
        <w:rPr>
          <w:rFonts w:ascii="Times New Roman" w:eastAsia="Times New Roman" w:hAnsi="Times New Roman" w:cs="Times New Roman"/>
          <w:color w:val="000000"/>
          <w:lang w:val="de-DE" w:eastAsia="en-GB"/>
        </w:rPr>
        <w:t>des Ramadan</w:t>
      </w:r>
      <w:proofErr w:type="gramEnd"/>
      <w:r>
        <w:rPr>
          <w:rFonts w:ascii="Times New Roman" w:eastAsia="Times New Roman" w:hAnsi="Times New Roman" w:cs="Times New Roman"/>
          <w:color w:val="000000"/>
          <w:lang w:val="de-DE" w:eastAsia="en-GB"/>
        </w:rPr>
        <w:t xml:space="preserve"> birgt daher die Gefahr, unabsichtlich die islamische politische Ideologie zu unterstützen, die Nicht-Muslime ausdrücklich ausschließt und herabwürdigt.</w:t>
      </w:r>
    </w:p>
    <w:p w14:paraId="71346634" w14:textId="77777777" w:rsidR="00C340E1" w:rsidRDefault="00000000">
      <w:pPr>
        <w:pStyle w:val="NormalWeb"/>
        <w:spacing w:before="280" w:after="280"/>
        <w:rPr>
          <w:color w:val="000000"/>
          <w:lang w:val="de-DE"/>
        </w:rPr>
      </w:pPr>
      <w:r>
        <w:rPr>
          <w:b/>
          <w:bCs/>
          <w:color w:val="000000"/>
          <w:lang w:val="de-DE"/>
        </w:rPr>
        <w:t>2. Ramadan und historische Gewalt.</w:t>
      </w:r>
      <w:r>
        <w:rPr>
          <w:color w:val="000000"/>
          <w:lang w:val="de-DE"/>
        </w:rPr>
        <w:t xml:space="preserve"> Der Ramadan steht in Verbindung mit bedeutenden islamischen Eroberungen und dem gewalttätigen Dschihad. Historisch gesehen schufen Mohammeds erfolgreiche Feldzüge </w:t>
      </w:r>
      <w:proofErr w:type="gramStart"/>
      <w:r>
        <w:rPr>
          <w:color w:val="000000"/>
          <w:lang w:val="de-DE"/>
        </w:rPr>
        <w:t>während des Ramadan</w:t>
      </w:r>
      <w:proofErr w:type="gramEnd"/>
      <w:r>
        <w:rPr>
          <w:color w:val="000000"/>
          <w:lang w:val="de-DE"/>
        </w:rPr>
        <w:t xml:space="preserve"> – wie die Schlacht von </w:t>
      </w:r>
      <w:proofErr w:type="spellStart"/>
      <w:r>
        <w:rPr>
          <w:color w:val="000000"/>
          <w:lang w:val="de-DE"/>
        </w:rPr>
        <w:t>Badr</w:t>
      </w:r>
      <w:proofErr w:type="spellEnd"/>
      <w:r>
        <w:rPr>
          <w:color w:val="000000"/>
          <w:lang w:val="de-DE"/>
        </w:rPr>
        <w:t xml:space="preserve"> (624 n. Chr.) und die Eroberung von Mekka (630 n. Chr.) – einen Präzedenzfall für den Dschihad gegen Nicht-Muslime. In Mohammeds Biografie, der Sira, wird die Schlacht von </w:t>
      </w:r>
      <w:proofErr w:type="spellStart"/>
      <w:r>
        <w:rPr>
          <w:color w:val="000000"/>
          <w:lang w:val="de-DE"/>
        </w:rPr>
        <w:t>Badr</w:t>
      </w:r>
      <w:proofErr w:type="spellEnd"/>
      <w:r>
        <w:rPr>
          <w:color w:val="000000"/>
          <w:lang w:val="de-DE"/>
        </w:rPr>
        <w:t xml:space="preserve"> als Angriff auf eine Karawane mekkanischer Heiden beschrieben, die Waren aus Syrien in ihre Stadt Mekka transportierten. Es war der erste große Dschihad-Angriff gegen Nicht-Muslime, den Mohammed in seiner militärischen Laufbahn anführte, und er fand </w:t>
      </w:r>
      <w:proofErr w:type="gramStart"/>
      <w:r>
        <w:rPr>
          <w:color w:val="000000"/>
          <w:lang w:val="de-DE"/>
        </w:rPr>
        <w:t>während des Ramadan</w:t>
      </w:r>
      <w:proofErr w:type="gramEnd"/>
      <w:r>
        <w:rPr>
          <w:color w:val="000000"/>
          <w:lang w:val="de-DE"/>
        </w:rPr>
        <w:t xml:space="preserve"> statt. </w:t>
      </w:r>
    </w:p>
    <w:p w14:paraId="0241D99F" w14:textId="77777777" w:rsidR="00C340E1" w:rsidRDefault="00000000">
      <w:pPr>
        <w:pStyle w:val="NormalWeb"/>
        <w:spacing w:before="280" w:after="280"/>
        <w:rPr>
          <w:i/>
          <w:iCs/>
          <w:color w:val="000000"/>
          <w:lang w:val="de-DE"/>
        </w:rPr>
      </w:pPr>
      <w:r>
        <w:rPr>
          <w:color w:val="000000"/>
          <w:lang w:val="de-DE"/>
        </w:rPr>
        <w:t xml:space="preserve">Das erste Eid-Fest wurde von Mohammed am Ende </w:t>
      </w:r>
      <w:proofErr w:type="gramStart"/>
      <w:r>
        <w:rPr>
          <w:color w:val="000000"/>
          <w:lang w:val="de-DE"/>
        </w:rPr>
        <w:t>des Ramadan</w:t>
      </w:r>
      <w:proofErr w:type="gramEnd"/>
      <w:r>
        <w:rPr>
          <w:color w:val="000000"/>
          <w:lang w:val="de-DE"/>
        </w:rPr>
        <w:t xml:space="preserve"> nach der Schlacht von </w:t>
      </w:r>
      <w:proofErr w:type="spellStart"/>
      <w:r>
        <w:rPr>
          <w:color w:val="000000"/>
          <w:lang w:val="de-DE"/>
        </w:rPr>
        <w:t>Badr</w:t>
      </w:r>
      <w:proofErr w:type="spellEnd"/>
      <w:r>
        <w:rPr>
          <w:color w:val="000000"/>
          <w:lang w:val="de-DE"/>
        </w:rPr>
        <w:t xml:space="preserve"> gefeiert, um seinen Sieg über die Mekkaner zu feiern. Es ist ein Fest zur Feier des Triumphs über Nicht-Muslime. Aus dieser Perspektive ist der Ramadan nicht neutral. Er ist ein dogmatischer Akt mit historischen Verbindungen zur Ausbreitung der islamischen politischen Macht. Der Dschihad wird durch unzählige Koranverse unterlegt, wie beispielsweise Koran 2:216 (der ausdrücklich den Kampf gegen Nichtmuslime gebietet). Gemäß dem Koran bevorzugt Allah diejenigen, die für seine Sache töten und getötet werden (4:95), und gewährt ihnen den Eintritt ins Paradies (3:169).</w:t>
      </w:r>
    </w:p>
    <w:p w14:paraId="33465E7D" w14:textId="77777777" w:rsidR="00C340E1" w:rsidRDefault="00000000">
      <w:pPr>
        <w:pStyle w:val="NormalWeb"/>
        <w:spacing w:before="280" w:after="280"/>
        <w:rPr>
          <w:color w:val="000000"/>
          <w:lang w:val="de-DE"/>
        </w:rPr>
      </w:pPr>
      <w:r>
        <w:rPr>
          <w:b/>
          <w:bCs/>
          <w:color w:val="000000"/>
          <w:lang w:val="de-DE"/>
        </w:rPr>
        <w:t>3. Islamische Lehre und Koexistenz:</w:t>
      </w:r>
      <w:r>
        <w:rPr>
          <w:color w:val="000000"/>
          <w:lang w:val="de-DE"/>
        </w:rPr>
        <w:t xml:space="preserve"> Auch wenn interreligiöse Veranstaltungen den Anschein erwecken mögen, die Harmonie zu fördern, betrachtet die islamische Lehre solche Begegnungen als Teil der „Dawa“ – der strategischen Einladung zum Islam – nicht als Aufruf </w:t>
      </w:r>
      <w:r>
        <w:rPr>
          <w:color w:val="000000"/>
          <w:lang w:val="de-DE"/>
        </w:rPr>
        <w:lastRenderedPageBreak/>
        <w:t xml:space="preserve">zu echter Koexistenz. Mehr als die Hälfte (51 %) der islamischen Lehre befasst sich damit, wie Nichtmuslime zu behandeln sind – das ist der Politische Islam. In diesen 51 % werden Muslime wiederholt davon abgehalten, sich mit Nicht-Muslimen anzufreunden (Koran 3:28, 5:58, 4:144), und ihnen wird befohlen, den Dschihad gegen Nicht-Muslime zu führen, bis sich die ganze Welt Mohammed und Allah unterworfen hat (Hadith, </w:t>
      </w:r>
      <w:proofErr w:type="spellStart"/>
      <w:r>
        <w:rPr>
          <w:color w:val="000000"/>
          <w:lang w:val="de-DE"/>
        </w:rPr>
        <w:t>Bukhari</w:t>
      </w:r>
      <w:proofErr w:type="spellEnd"/>
      <w:r>
        <w:rPr>
          <w:color w:val="000000"/>
          <w:lang w:val="de-DE"/>
        </w:rPr>
        <w:t xml:space="preserve"> 2946; Koran, 9:29). So steht die Lehre selbst daher der Integration und Koexistenz im Wege.</w:t>
      </w:r>
    </w:p>
    <w:p w14:paraId="2DA39DF5" w14:textId="77777777" w:rsidR="00C340E1" w:rsidRDefault="00000000">
      <w:pPr>
        <w:pStyle w:val="NormalWeb"/>
        <w:spacing w:before="280" w:after="280"/>
        <w:rPr>
          <w:color w:val="000000"/>
          <w:lang w:val="de-DE"/>
        </w:rPr>
      </w:pPr>
      <w:r>
        <w:rPr>
          <w:b/>
          <w:bCs/>
          <w:color w:val="000000"/>
          <w:lang w:val="de-DE"/>
        </w:rPr>
        <w:t>4. Stärkung der Wahlfreiheit im islamischen Bereich</w:t>
      </w:r>
      <w:r>
        <w:rPr>
          <w:color w:val="000000"/>
          <w:lang w:val="de-DE"/>
        </w:rPr>
        <w:t>: In der islamischen Gesellschaft herrscht begründete Angst davor, den Islam zu verlassen oder ihn zu kritisieren. Diese Angst ist in der islamischen Doktrin begründet, dass jeder getötet werden soll, der den Islam verlässt (</w:t>
      </w:r>
      <w:bookmarkStart w:id="1" w:name="__DdeLink__36_1883546030"/>
      <w:r>
        <w:rPr>
          <w:color w:val="000000"/>
          <w:lang w:val="de-DE"/>
        </w:rPr>
        <w:t xml:space="preserve">Hadith </w:t>
      </w:r>
      <w:proofErr w:type="spellStart"/>
      <w:r>
        <w:rPr>
          <w:color w:val="000000"/>
          <w:lang w:val="de-DE"/>
        </w:rPr>
        <w:t>Bukhari</w:t>
      </w:r>
      <w:proofErr w:type="spellEnd"/>
      <w:r>
        <w:rPr>
          <w:color w:val="000000"/>
          <w:lang w:val="de-DE"/>
        </w:rPr>
        <w:t xml:space="preserve"> 6922</w:t>
      </w:r>
      <w:bookmarkEnd w:id="1"/>
      <w:r>
        <w:rPr>
          <w:color w:val="000000"/>
          <w:lang w:val="de-DE"/>
        </w:rPr>
        <w:t xml:space="preserve">) oder ihn kritisiert (Hadith </w:t>
      </w:r>
      <w:proofErr w:type="spellStart"/>
      <w:r>
        <w:rPr>
          <w:color w:val="000000"/>
          <w:lang w:val="de-DE"/>
        </w:rPr>
        <w:t>Bukhari</w:t>
      </w:r>
      <w:proofErr w:type="spellEnd"/>
      <w:r>
        <w:rPr>
          <w:color w:val="000000"/>
          <w:lang w:val="de-DE"/>
        </w:rPr>
        <w:t xml:space="preserve"> 3031). Die öffentliche Förderung </w:t>
      </w:r>
      <w:proofErr w:type="gramStart"/>
      <w:r>
        <w:rPr>
          <w:color w:val="000000"/>
          <w:lang w:val="de-DE"/>
        </w:rPr>
        <w:t>des Ramadan</w:t>
      </w:r>
      <w:proofErr w:type="gramEnd"/>
      <w:r>
        <w:rPr>
          <w:color w:val="000000"/>
          <w:lang w:val="de-DE"/>
        </w:rPr>
        <w:t xml:space="preserve"> verstärkt auf diese Weise den sozialen Zwang und macht es den Mitgliedern der islamischen Gemeinschaft schwer, sich von Praktiken der islamischen Lehre zu befreien, wenn diese ihren Werten widersprechen. Der Verzicht auf öffentliche Unterstützung für den Ramadan trägt so dazu bei, einen sicheren Raum für diejenigen zu schaffen, die ihr Leben frei vom Druck durch die islamische Lehre leben wollen.</w:t>
      </w:r>
    </w:p>
    <w:p w14:paraId="78EF817D" w14:textId="77777777" w:rsidR="00C340E1" w:rsidRDefault="00000000">
      <w:pPr>
        <w:pStyle w:val="NormalWeb"/>
        <w:spacing w:before="280" w:after="280"/>
        <w:rPr>
          <w:color w:val="000000"/>
          <w:lang w:val="de-DE"/>
        </w:rPr>
      </w:pPr>
      <w:r>
        <w:rPr>
          <w:b/>
          <w:bCs/>
          <w:color w:val="000000"/>
          <w:lang w:val="de-DE"/>
        </w:rPr>
        <w:t xml:space="preserve">5. Gemeinsame Iftar-Mahlzeiten sind Aufrufe zum Islam: </w:t>
      </w:r>
      <w:r>
        <w:rPr>
          <w:color w:val="000000"/>
          <w:lang w:val="de-DE"/>
        </w:rPr>
        <w:t xml:space="preserve">Nicht-Muslime werden </w:t>
      </w:r>
      <w:proofErr w:type="gramStart"/>
      <w:r>
        <w:rPr>
          <w:color w:val="000000"/>
          <w:lang w:val="de-DE"/>
        </w:rPr>
        <w:t>während des Ramadan</w:t>
      </w:r>
      <w:proofErr w:type="gramEnd"/>
      <w:r>
        <w:rPr>
          <w:color w:val="000000"/>
          <w:lang w:val="de-DE"/>
        </w:rPr>
        <w:t xml:space="preserve"> oft zu Iftar-Mahlzeiten und ähnlichen öffentlichen Veranstaltungen eingeladen. Solche Einladungen haben ihren Ursprung in der Dawa (der Einladung zum Islam). Die Dawa zielt auf die Bekehrung oder Unterwerfung unter den Islam ab, daher ist das kein neutraler, kultureller Austausch. Das gemeinsame Iftar-Essen mit Nicht-Muslimen dient ausdrücklich dem Zweck, diese zum Islam aufzurufen oder ihre Herzen dafür zu gewinnen – andernfalls wäre die Einladung nicht zulässig. Nicht-Muslime, die solche Feierlichkeiten unterstützen oder daran teilnehmen, insbesondere in islamischen Räumen (d. h. Moscheen und islamischen Zentren), fördern unwissentlich und unbeabsichtigt viele Praktiken, die nach islamischer Lehre als normal gelten, wie z. B. die Gefahr körperlicher Gewalt gegen diejenigen, die den Islam verlassen (Hadith </w:t>
      </w:r>
      <w:proofErr w:type="spellStart"/>
      <w:r>
        <w:rPr>
          <w:color w:val="000000"/>
          <w:lang w:val="de-DE"/>
        </w:rPr>
        <w:t>Bukhari</w:t>
      </w:r>
      <w:proofErr w:type="spellEnd"/>
      <w:r>
        <w:rPr>
          <w:color w:val="000000"/>
          <w:lang w:val="de-DE"/>
        </w:rPr>
        <w:t xml:space="preserve"> 6922, Koran 4:89-90), Kinderheirat (Hadith Muslim 1422b, Hadith </w:t>
      </w:r>
      <w:proofErr w:type="spellStart"/>
      <w:r>
        <w:rPr>
          <w:color w:val="000000"/>
          <w:lang w:val="de-DE"/>
        </w:rPr>
        <w:t>Bukhari</w:t>
      </w:r>
      <w:proofErr w:type="spellEnd"/>
      <w:r>
        <w:rPr>
          <w:color w:val="000000"/>
          <w:lang w:val="de-DE"/>
        </w:rPr>
        <w:t xml:space="preserve"> 5133), die Misshandlung und Unterdrückung von Frauen (Koran 33:59, 4:34), die Genitalverstümmelung von Frauen (Koran 30:30 → Hadith </w:t>
      </w:r>
      <w:proofErr w:type="spellStart"/>
      <w:r>
        <w:rPr>
          <w:color w:val="000000"/>
          <w:lang w:val="de-DE"/>
        </w:rPr>
        <w:t>Bukhari</w:t>
      </w:r>
      <w:proofErr w:type="spellEnd"/>
      <w:r>
        <w:rPr>
          <w:color w:val="000000"/>
          <w:lang w:val="de-DE"/>
        </w:rPr>
        <w:t xml:space="preserve"> 5891) oder die (sexuelle) Sklaverei (Hadith </w:t>
      </w:r>
      <w:proofErr w:type="spellStart"/>
      <w:r>
        <w:rPr>
          <w:color w:val="000000"/>
          <w:lang w:val="de-DE"/>
        </w:rPr>
        <w:t>Bukhari</w:t>
      </w:r>
      <w:proofErr w:type="spellEnd"/>
      <w:r>
        <w:rPr>
          <w:color w:val="000000"/>
          <w:lang w:val="de-DE"/>
        </w:rPr>
        <w:t xml:space="preserve"> 6603, Koran 4:3).</w:t>
      </w:r>
    </w:p>
    <w:p w14:paraId="17478F2D" w14:textId="77777777" w:rsidR="00C340E1" w:rsidRDefault="00000000">
      <w:pPr>
        <w:pStyle w:val="NormalWeb"/>
        <w:spacing w:before="280" w:after="280"/>
        <w:rPr>
          <w:color w:val="000000"/>
          <w:lang w:val="de-DE"/>
        </w:rPr>
      </w:pPr>
      <w:r>
        <w:rPr>
          <w:color w:val="000000"/>
          <w:lang w:val="de-DE"/>
        </w:rPr>
        <w:t xml:space="preserve">Es ist auch erwähnenswert, dass Mohammed dem Umgang mit nicht-islamischen Diplomaten so viel Bedeutung beimaß, dass einer seiner letzten Befehle auf seinem Sterbebett lautete, dass Muslime ihnen weiterhin Geschenke machen sollten (Hadith, </w:t>
      </w:r>
      <w:proofErr w:type="spellStart"/>
      <w:r>
        <w:rPr>
          <w:color w:val="000000"/>
          <w:lang w:val="de-DE"/>
        </w:rPr>
        <w:t>Bukhari</w:t>
      </w:r>
      <w:proofErr w:type="spellEnd"/>
      <w:r>
        <w:rPr>
          <w:color w:val="000000"/>
          <w:lang w:val="de-DE"/>
        </w:rPr>
        <w:t xml:space="preserve"> 3053). Das Annehmen solcher Geschenke und von Einladungen trägt dazu bei, den falschen Eindruck zu erwecken, dass die islamische Lehre gegenüber Nicht-Muslimen freundlich gesinnt ist.</w:t>
      </w:r>
    </w:p>
    <w:p w14:paraId="2F4C6114" w14:textId="77777777" w:rsidR="00C340E1" w:rsidRDefault="00000000">
      <w:pPr>
        <w:pStyle w:val="NormalWeb"/>
        <w:spacing w:before="280" w:after="280"/>
        <w:rPr>
          <w:color w:val="000000"/>
          <w:lang w:val="de-DE"/>
        </w:rPr>
      </w:pPr>
      <w:r>
        <w:rPr>
          <w:b/>
          <w:bCs/>
          <w:color w:val="000000"/>
          <w:lang w:val="de-DE"/>
        </w:rPr>
        <w:t xml:space="preserve">Prinzip der </w:t>
      </w:r>
      <w:proofErr w:type="spellStart"/>
      <w:r>
        <w:rPr>
          <w:b/>
          <w:bCs/>
          <w:color w:val="000000"/>
          <w:lang w:val="de-DE"/>
        </w:rPr>
        <w:t>Darura</w:t>
      </w:r>
      <w:proofErr w:type="spellEnd"/>
      <w:r>
        <w:rPr>
          <w:b/>
          <w:bCs/>
          <w:color w:val="000000"/>
          <w:lang w:val="de-DE"/>
        </w:rPr>
        <w:t xml:space="preserve"> (Notwendigkeit):</w:t>
      </w:r>
      <w:r>
        <w:rPr>
          <w:color w:val="000000"/>
          <w:lang w:val="de-DE"/>
        </w:rPr>
        <w:t xml:space="preserve"> Die islamische Lehre und das islamische Recht erlauben es Mitgliedern der islamischen Gemeinschaft, auf die Pflichten </w:t>
      </w:r>
      <w:proofErr w:type="gramStart"/>
      <w:r>
        <w:rPr>
          <w:color w:val="000000"/>
          <w:lang w:val="de-DE"/>
        </w:rPr>
        <w:t>des Ramadan</w:t>
      </w:r>
      <w:proofErr w:type="gramEnd"/>
      <w:r>
        <w:rPr>
          <w:color w:val="000000"/>
          <w:lang w:val="de-DE"/>
        </w:rPr>
        <w:t xml:space="preserve"> zu verzichten, wenn die Umstände die Einhaltung verhindern. Daher stellt das Fehlen öffentlicher Dekorationen oder Veranstaltungen keinen Eingriff in die Religionsfreiheit dar.</w:t>
      </w:r>
    </w:p>
    <w:p w14:paraId="20350ACB" w14:textId="77777777" w:rsidR="00C340E1" w:rsidRDefault="00000000">
      <w:pPr>
        <w:pStyle w:val="NormalWeb"/>
        <w:spacing w:before="280" w:after="280"/>
        <w:rPr>
          <w:color w:val="000000"/>
          <w:lang w:val="de-DE"/>
        </w:rPr>
      </w:pPr>
      <w:r>
        <w:rPr>
          <w:color w:val="000000"/>
          <w:lang w:val="de-DE"/>
        </w:rPr>
        <w:t>Zusammenfassend lässt sich festhalten, dass der Verzicht auf die öffentliche Werbung für den Ramadan das Bekenntnis Ihrer Stadt zu Inklusion und echter kultureller Sensibilität untermauert. Wir bitten die Stadtverwaltung, diese Perspektive sorgfältig zu prüfen.</w:t>
      </w:r>
    </w:p>
    <w:p w14:paraId="2DEBCF03" w14:textId="77777777" w:rsidR="00C340E1" w:rsidRDefault="00000000">
      <w:pPr>
        <w:pStyle w:val="NormalWeb"/>
        <w:spacing w:before="280" w:after="280"/>
        <w:rPr>
          <w:color w:val="000000"/>
          <w:lang w:val="de-DE"/>
        </w:rPr>
      </w:pPr>
      <w:r>
        <w:rPr>
          <w:color w:val="000000"/>
          <w:lang w:val="de-DE"/>
        </w:rPr>
        <w:t>Hier finden Sie den vollständigen Bericht zum Thema Ramadan in Englisch, falls Sie mehr darüber lesen möchten:</w:t>
      </w:r>
    </w:p>
    <w:p w14:paraId="4A716195" w14:textId="77777777" w:rsidR="00C340E1" w:rsidRDefault="00000000">
      <w:pPr>
        <w:pStyle w:val="NormalWeb"/>
        <w:spacing w:before="280" w:after="280"/>
      </w:pPr>
      <w:hyperlink r:id="rId7">
        <w:r>
          <w:rPr>
            <w:lang w:val="de-DE"/>
          </w:rPr>
          <w:t>https://www.cspii.org/learn-political-islam/new-articles/ramadan-for-non-muslims-a-kafirs-guide/</w:t>
        </w:r>
      </w:hyperlink>
    </w:p>
    <w:p w14:paraId="7AB97382" w14:textId="77777777" w:rsidR="00C340E1" w:rsidRDefault="00000000">
      <w:pPr>
        <w:pStyle w:val="NormalWeb"/>
        <w:spacing w:before="280" w:after="280"/>
        <w:rPr>
          <w:lang w:val="de-DE"/>
        </w:rPr>
      </w:pPr>
      <w:r>
        <w:rPr>
          <w:lang w:val="de-DE"/>
        </w:rPr>
        <w:t>Mit freundlichen Grüßen,</w:t>
      </w:r>
    </w:p>
    <w:p w14:paraId="37912F06" w14:textId="77777777" w:rsidR="00C340E1" w:rsidRDefault="00000000">
      <w:pPr>
        <w:pStyle w:val="NormalWeb"/>
        <w:spacing w:before="280" w:after="280"/>
        <w:rPr>
          <w:lang w:val="de-DE"/>
        </w:rPr>
      </w:pPr>
      <w:r>
        <w:rPr>
          <w:lang w:val="de-DE"/>
        </w:rPr>
        <w:t>&lt;Unterschrift&gt;</w:t>
      </w:r>
    </w:p>
    <w:p w14:paraId="57C5C921" w14:textId="77777777" w:rsidR="00C340E1" w:rsidRDefault="00C340E1">
      <w:pPr>
        <w:pStyle w:val="NormalWeb"/>
        <w:spacing w:before="280" w:after="280"/>
        <w:rPr>
          <w:color w:val="000000"/>
          <w:lang w:val="de-DE"/>
        </w:rPr>
      </w:pPr>
    </w:p>
    <w:p w14:paraId="59C1C98F" w14:textId="77777777" w:rsidR="00C340E1" w:rsidRDefault="00C340E1">
      <w:pPr>
        <w:spacing w:beforeAutospacing="1" w:afterAutospacing="1"/>
        <w:rPr>
          <w:rFonts w:ascii="Times New Roman" w:eastAsia="Times New Roman" w:hAnsi="Times New Roman" w:cs="Times New Roman"/>
          <w:color w:val="000000"/>
          <w:lang w:val="de-DE" w:eastAsia="en-GB"/>
        </w:rPr>
      </w:pPr>
    </w:p>
    <w:sectPr w:rsidR="00C340E1">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1"/>
    <w:family w:val="roman"/>
    <w:pitch w:val="variable"/>
  </w:font>
  <w:font w:name="Noto Sans SC Regular">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E1"/>
    <w:rsid w:val="0046545C"/>
    <w:rsid w:val="00A91B5B"/>
    <w:rsid w:val="00C340E1"/>
  </w:rsids>
  <m:mathPr>
    <m:mathFont m:val="Cambria Math"/>
    <m:brkBin m:val="before"/>
    <m:brkBinSub m:val="--"/>
    <m:smallFrac m:val="0"/>
    <m:dispDef/>
    <m:lMargin m:val="0"/>
    <m:rMargin m:val="0"/>
    <m:defJc m:val="centerGroup"/>
    <m:wrapIndent m:val="1440"/>
    <m:intLim m:val="subSup"/>
    <m:naryLim m:val="undOvr"/>
  </m:mathPr>
  <w:themeFontLang w:eastAsia="" w:bidi="he-IL"/>
  <w:clrSchemeMapping w:bg1="light1" w:t1="dark1" w:bg2="light2" w:t2="dark2" w:accent1="accent1" w:accent2="accent2" w:accent3="accent3" w:accent4="accent4" w:accent5="accent5" w:accent6="accent6" w:hyperlink="hyperlink" w:followedHyperlink="followedHyperlink"/>
  <w:decimalSymbol w:val=","/>
  <w:listSeparator w:val=","/>
  <w14:docId w14:val="44237CFC"/>
  <w15:docId w15:val="{E3E3F8BA-0FBF-DA44-87F3-665C8939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0B5821"/>
  </w:style>
  <w:style w:type="character" w:styleId="Hyperlink">
    <w:name w:val="Hyperlink"/>
    <w:basedOn w:val="DefaultParagraphFont"/>
    <w:uiPriority w:val="99"/>
    <w:unhideWhenUsed/>
    <w:rsid w:val="000B5821"/>
    <w:rPr>
      <w:color w:val="0000FF"/>
      <w:u w:val="single"/>
    </w:rPr>
  </w:style>
  <w:style w:type="character" w:styleId="UnresolvedMention">
    <w:name w:val="Unresolved Mention"/>
    <w:basedOn w:val="DefaultParagraphFont"/>
    <w:uiPriority w:val="99"/>
    <w:semiHidden/>
    <w:unhideWhenUsed/>
    <w:qFormat/>
    <w:rsid w:val="00027D8D"/>
    <w:rPr>
      <w:color w:val="605E5C"/>
      <w:shd w:val="clear" w:color="auto" w:fill="E1DFDD"/>
    </w:rPr>
  </w:style>
  <w:style w:type="paragraph" w:customStyle="1" w:styleId="berschrift">
    <w:name w:val="Überschrift"/>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Verzeichnis">
    <w:name w:val="Verzeichnis"/>
    <w:basedOn w:val="Normal"/>
    <w:qFormat/>
    <w:pPr>
      <w:suppressLineNumbers/>
    </w:pPr>
    <w:rPr>
      <w:rFonts w:cs="Noto Sans"/>
    </w:rPr>
  </w:style>
  <w:style w:type="paragraph" w:styleId="NormalWeb">
    <w:name w:val="Normal (Web)"/>
    <w:basedOn w:val="Normal"/>
    <w:uiPriority w:val="99"/>
    <w:unhideWhenUsed/>
    <w:qFormat/>
    <w:rsid w:val="000B5821"/>
    <w:pPr>
      <w:spacing w:beforeAutospacing="1" w:afterAutospacing="1"/>
    </w:pPr>
    <w:rPr>
      <w:rFonts w:ascii="Times New Roman" w:eastAsia="Times New Roman" w:hAnsi="Times New Roman" w:cs="Times New Roman"/>
      <w:lang w:eastAsia="en-GB"/>
    </w:rPr>
  </w:style>
  <w:style w:type="numbering" w:customStyle="1" w:styleId="KeineListe">
    <w:name w:val="Keine Liste"/>
    <w:uiPriority w:val="99"/>
    <w:semiHidden/>
    <w:unhideWhenUsed/>
    <w:qFormat/>
  </w:style>
  <w:style w:type="numbering" w:customStyle="1" w:styleId="Style1">
    <w:name w:val="Style1"/>
    <w:uiPriority w:val="99"/>
    <w:qFormat/>
    <w:rsid w:val="007D4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spii.org/learn-political-islam/new-articles/ramadan-for-non-muslims-a-kafirs-gui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spi-web-media.ams3.cdn.digitaloceanspaces.com/documents/The_Sunna_of_Mohammed.pdf" TargetMode="External"/><Relationship Id="rId5" Type="http://schemas.openxmlformats.org/officeDocument/2006/relationships/hyperlink" Target="https://www.cspii.org/us/learn-political-islam/articles/mohammed/" TargetMode="External"/><Relationship Id="rId4" Type="http://schemas.openxmlformats.org/officeDocument/2006/relationships/hyperlink" Target="https://www.cspii.org/us/learn-political-islam/articles/kora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6353</Characters>
  <Application>Microsoft Office Word</Application>
  <DocSecurity>0</DocSecurity>
  <Lines>97</Lines>
  <Paragraphs>23</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Podlipný</cp:lastModifiedBy>
  <cp:revision>2</cp:revision>
  <dcterms:created xsi:type="dcterms:W3CDTF">2026-02-22T19:56:00Z</dcterms:created>
  <dcterms:modified xsi:type="dcterms:W3CDTF">2026-02-22T19:56:00Z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2026-02-05T12:03:00Z</dcterms:created>
  <dc:creator>John Adler</dc:creator>
  <dc:description/>
  <dc:language>de-DE</dc:language>
  <cp:lastModifiedBy/>
  <dcterms:modified xsi:type="dcterms:W3CDTF">2026-02-21T22:55:59Z</dcterms:modified>
  <cp:revision>15</cp:revision>
  <dc:subject/>
  <dc:title/>
</cp:coreProperties>
</file>