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A4B49" w14:textId="77777777" w:rsidR="0049500C" w:rsidRPr="00CF162B" w:rsidRDefault="0049500C" w:rsidP="0049500C">
      <w:pPr>
        <w:pStyle w:val="normal1"/>
        <w:spacing w:line="240" w:lineRule="auto"/>
      </w:pPr>
      <w:proofErr w:type="gramStart"/>
      <w:r w:rsidRPr="00CF162B">
        <w:t>A  NOMBRE</w:t>
      </w:r>
      <w:proofErr w:type="gramEnd"/>
      <w:r w:rsidRPr="00CF162B">
        <w:t xml:space="preserve"> DE LA CIUDAD FECHA</w:t>
      </w:r>
    </w:p>
    <w:p w14:paraId="72D71E7C" w14:textId="77777777" w:rsidR="0049500C" w:rsidRPr="00CF162B" w:rsidRDefault="0049500C" w:rsidP="0049500C">
      <w:pPr>
        <w:pStyle w:val="normal1"/>
        <w:spacing w:line="240" w:lineRule="auto"/>
      </w:pPr>
    </w:p>
    <w:p w14:paraId="41B97BB3" w14:textId="77777777" w:rsidR="0049500C" w:rsidRPr="00CF162B" w:rsidRDefault="0049500C" w:rsidP="0049500C">
      <w:pPr>
        <w:pStyle w:val="normal1"/>
        <w:spacing w:line="240" w:lineRule="auto"/>
        <w:rPr>
          <w:b/>
          <w:bCs/>
        </w:rPr>
      </w:pPr>
      <w:r w:rsidRPr="00CF162B">
        <w:rPr>
          <w:b/>
          <w:bCs/>
        </w:rPr>
        <w:t>Asunto:</w:t>
      </w:r>
    </w:p>
    <w:p w14:paraId="03CB573A" w14:textId="77777777" w:rsidR="0049500C" w:rsidRPr="00CF162B" w:rsidRDefault="0049500C" w:rsidP="0049500C">
      <w:pPr>
        <w:pStyle w:val="normal1"/>
        <w:spacing w:line="240" w:lineRule="auto"/>
        <w:rPr>
          <w:b/>
          <w:bCs/>
        </w:rPr>
      </w:pPr>
    </w:p>
    <w:p w14:paraId="2ADDED57" w14:textId="77777777" w:rsidR="0049500C" w:rsidRPr="00CF162B" w:rsidRDefault="0049500C" w:rsidP="0049500C">
      <w:pPr>
        <w:pStyle w:val="normal1"/>
        <w:spacing w:line="240" w:lineRule="auto"/>
        <w:rPr>
          <w:b/>
          <w:bCs/>
        </w:rPr>
      </w:pPr>
      <w:r w:rsidRPr="00CF162B">
        <w:rPr>
          <w:b/>
          <w:bCs/>
        </w:rPr>
        <w:t>Recomendación para evitar decoraciones y eventos relacionados con el Ramadán en</w:t>
      </w:r>
    </w:p>
    <w:p w14:paraId="1EE6EEF6" w14:textId="77777777" w:rsidR="0049500C" w:rsidRPr="00CF162B" w:rsidRDefault="0049500C" w:rsidP="0049500C">
      <w:pPr>
        <w:pStyle w:val="normal1"/>
        <w:spacing w:line="240" w:lineRule="auto"/>
        <w:rPr>
          <w:b/>
          <w:bCs/>
        </w:rPr>
      </w:pPr>
      <w:r w:rsidRPr="00CF162B">
        <w:rPr>
          <w:b/>
          <w:bCs/>
        </w:rPr>
        <w:t xml:space="preserve">edificios y espacios públicos, así como evitar aceptar invitaciones a cenas de </w:t>
      </w:r>
      <w:proofErr w:type="spellStart"/>
      <w:r w:rsidRPr="00CF162B">
        <w:rPr>
          <w:b/>
          <w:bCs/>
        </w:rPr>
        <w:t>Iftar</w:t>
      </w:r>
      <w:proofErr w:type="spellEnd"/>
      <w:r w:rsidRPr="00CF162B">
        <w:rPr>
          <w:b/>
          <w:bCs/>
        </w:rPr>
        <w:t>.</w:t>
      </w:r>
    </w:p>
    <w:p w14:paraId="1C6A0A5E" w14:textId="77777777" w:rsidR="0049500C" w:rsidRPr="00CF162B" w:rsidRDefault="0049500C" w:rsidP="0049500C">
      <w:pPr>
        <w:pStyle w:val="normal1"/>
        <w:spacing w:line="240" w:lineRule="auto"/>
      </w:pPr>
    </w:p>
    <w:p w14:paraId="2B1C7810" w14:textId="77777777" w:rsidR="0049500C" w:rsidRPr="00CF162B" w:rsidRDefault="0049500C" w:rsidP="0049500C">
      <w:pPr>
        <w:pStyle w:val="normal1"/>
        <w:spacing w:line="240" w:lineRule="auto"/>
      </w:pPr>
      <w:r w:rsidRPr="00CF162B">
        <w:t>Instamos respetuosamente al Ayuntamiento/Alcaldía de NOMBRE DE LA CIUDAD a reconsiderar los planes de decoraciones y eventos públicos relacionados con el Ramadán. Nuestra preocupación se basa en las escrituras islámicas y el contexto histórico, que ponen de relieve la naturaleza problemática de respaldar públicamente las prácticas del Ramadán en una sociedad no islámica.</w:t>
      </w:r>
    </w:p>
    <w:p w14:paraId="7E36D553" w14:textId="77777777" w:rsidR="0049500C" w:rsidRPr="00CF162B" w:rsidRDefault="0049500C" w:rsidP="0049500C">
      <w:pPr>
        <w:pStyle w:val="normal1"/>
        <w:spacing w:line="240" w:lineRule="auto"/>
      </w:pPr>
    </w:p>
    <w:p w14:paraId="18A2D75A" w14:textId="77777777" w:rsidR="0049500C" w:rsidRPr="00CF162B" w:rsidRDefault="0049500C" w:rsidP="0049500C">
      <w:pPr>
        <w:pStyle w:val="normal1"/>
        <w:spacing w:line="240" w:lineRule="auto"/>
      </w:pPr>
      <w:r w:rsidRPr="00CF162B">
        <w:t>El Ramadán es un evento islámico que conmemora las revelaciones del Corán a Mahoma.</w:t>
      </w:r>
    </w:p>
    <w:p w14:paraId="3A2C5776" w14:textId="77777777" w:rsidR="0049500C" w:rsidRPr="00CF162B" w:rsidRDefault="0049500C" w:rsidP="0049500C">
      <w:pPr>
        <w:pStyle w:val="normal1"/>
        <w:spacing w:line="240" w:lineRule="auto"/>
      </w:pPr>
      <w:r w:rsidRPr="00CF162B">
        <w:t>En términos sencillos, es una celebración de la doctrina islámica, del Corán y también de las</w:t>
      </w:r>
    </w:p>
    <w:p w14:paraId="52241372" w14:textId="77777777" w:rsidR="0049500C" w:rsidRPr="00CF162B" w:rsidRDefault="0049500C" w:rsidP="0049500C">
      <w:pPr>
        <w:pStyle w:val="normal1"/>
        <w:spacing w:line="240" w:lineRule="auto"/>
      </w:pPr>
      <w:r w:rsidRPr="00CF162B">
        <w:t>escrituras dedicadas a la vida de Mahoma (el Hadiz–—tradiciones— y la Sira—biografía</w:t>
      </w:r>
      <w:proofErr w:type="gramStart"/>
      <w:r w:rsidRPr="00CF162B">
        <w:t>— )</w:t>
      </w:r>
      <w:proofErr w:type="gramEnd"/>
      <w:r w:rsidRPr="00CF162B">
        <w:t>,</w:t>
      </w:r>
    </w:p>
    <w:p w14:paraId="4D0AE47D" w14:textId="77777777" w:rsidR="0049500C" w:rsidRPr="00CF162B" w:rsidRDefault="0049500C" w:rsidP="0049500C">
      <w:pPr>
        <w:pStyle w:val="normal1"/>
        <w:spacing w:line="240" w:lineRule="auto"/>
      </w:pPr>
      <w:r w:rsidRPr="00CF162B">
        <w:t>ya que el Corán exige en 89 ocasiones que los musulmanes imiten a Mahoma en todos los</w:t>
      </w:r>
    </w:p>
    <w:p w14:paraId="35EC74B7" w14:textId="77777777" w:rsidR="0049500C" w:rsidRPr="00CF162B" w:rsidRDefault="0049500C" w:rsidP="0049500C">
      <w:pPr>
        <w:pStyle w:val="normal1"/>
        <w:spacing w:line="240" w:lineRule="auto"/>
      </w:pPr>
      <w:r w:rsidRPr="00CF162B">
        <w:t>aspectos.</w:t>
      </w:r>
    </w:p>
    <w:p w14:paraId="4B465A22" w14:textId="77777777" w:rsidR="0049500C" w:rsidRPr="00CF162B" w:rsidRDefault="0049500C" w:rsidP="0049500C">
      <w:pPr>
        <w:pStyle w:val="normal1"/>
        <w:spacing w:line="240" w:lineRule="auto"/>
      </w:pPr>
    </w:p>
    <w:p w14:paraId="64FCB965" w14:textId="77777777" w:rsidR="0049500C" w:rsidRPr="00CF162B" w:rsidRDefault="0049500C" w:rsidP="0049500C">
      <w:pPr>
        <w:pStyle w:val="normal1"/>
        <w:spacing w:line="240" w:lineRule="auto"/>
        <w:rPr>
          <w:b/>
          <w:bCs/>
        </w:rPr>
      </w:pPr>
      <w:r w:rsidRPr="00CF162B">
        <w:rPr>
          <w:b/>
          <w:bCs/>
        </w:rPr>
        <w:t>Los siguientes puntos deben considerarse muy problemáticos:</w:t>
      </w:r>
    </w:p>
    <w:p w14:paraId="4E6138DF" w14:textId="77777777" w:rsidR="0049500C" w:rsidRPr="00CF162B" w:rsidRDefault="0049500C" w:rsidP="0049500C">
      <w:pPr>
        <w:pStyle w:val="normal1"/>
        <w:spacing w:line="240" w:lineRule="auto"/>
      </w:pPr>
    </w:p>
    <w:p w14:paraId="02CFB369" w14:textId="77777777" w:rsidR="0049500C" w:rsidRPr="00CF162B" w:rsidRDefault="0049500C" w:rsidP="0049500C">
      <w:pPr>
        <w:pStyle w:val="normal1"/>
        <w:numPr>
          <w:ilvl w:val="0"/>
          <w:numId w:val="1"/>
        </w:numPr>
        <w:spacing w:line="240" w:lineRule="auto"/>
      </w:pPr>
      <w:r w:rsidRPr="00CF162B">
        <w:rPr>
          <w:b/>
          <w:bCs/>
        </w:rPr>
        <w:t>Exclusividad e intolerancia de las escrituras:</w:t>
      </w:r>
      <w:r w:rsidRPr="00CF162B">
        <w:t xml:space="preserve"> Las escrituras islámicas contienen numerosos versículos que se refieren a los no musulmanes (los </w:t>
      </w:r>
      <w:proofErr w:type="spellStart"/>
      <w:r w:rsidRPr="00CF162B">
        <w:t>kafires</w:t>
      </w:r>
      <w:proofErr w:type="spellEnd"/>
      <w:r w:rsidRPr="00CF162B">
        <w:t>) en términos negativos. Por ejemplo, el Corán afirma que los no musulmanes pueden ser aterrorizados (Corán 8:12), humillados (Corán 9:29) y que no se debe entablar amistad con ellos (Corán 3:28, 4:144). Por lo tanto, el respaldo público al Ramadán corre el riesgo de apoyar inadvertidamente la ideología política islámica, que excluye y menosprecia explícitamente a los no musulmanes.</w:t>
      </w:r>
    </w:p>
    <w:p w14:paraId="752261F0" w14:textId="77777777" w:rsidR="0049500C" w:rsidRPr="00CF162B" w:rsidRDefault="0049500C" w:rsidP="0049500C">
      <w:pPr>
        <w:pStyle w:val="normal1"/>
        <w:spacing w:line="240" w:lineRule="auto"/>
        <w:ind w:left="720"/>
      </w:pPr>
    </w:p>
    <w:p w14:paraId="43142721" w14:textId="77777777" w:rsidR="0049500C" w:rsidRPr="00CF162B" w:rsidRDefault="0049500C" w:rsidP="0049500C">
      <w:pPr>
        <w:pStyle w:val="normal1"/>
        <w:numPr>
          <w:ilvl w:val="0"/>
          <w:numId w:val="1"/>
        </w:numPr>
        <w:spacing w:line="240" w:lineRule="auto"/>
      </w:pPr>
      <w:r w:rsidRPr="00CF162B">
        <w:rPr>
          <w:b/>
          <w:bCs/>
        </w:rPr>
        <w:t xml:space="preserve">El Ramadán y la violencia histórica: </w:t>
      </w:r>
      <w:r w:rsidRPr="00CF162B">
        <w:t xml:space="preserve">El Ramadán está vinculado a importantes conquistas islámicas y a la yihad violenta. Históricamente, las exitosas campañas militares de Mahoma durante el Ramadán, como la batalla de </w:t>
      </w:r>
      <w:proofErr w:type="spellStart"/>
      <w:r w:rsidRPr="00CF162B">
        <w:t>Badr</w:t>
      </w:r>
      <w:proofErr w:type="spellEnd"/>
      <w:r w:rsidRPr="00CF162B">
        <w:t xml:space="preserve"> (624 d. C.) y la conquista de La Meca (630 d. C.), sentaron un precedente para la yihad contra los no musulmanes. En la biografía de Mahoma, la Sira, la batalla de </w:t>
      </w:r>
      <w:proofErr w:type="spellStart"/>
      <w:r w:rsidRPr="00CF162B">
        <w:t>Badr</w:t>
      </w:r>
      <w:proofErr w:type="spellEnd"/>
      <w:r w:rsidRPr="00CF162B">
        <w:t xml:space="preserve"> se describe como un ataque a una caravana de paganos de La Meca que transportaba mercancías desde Siria hacia su ciudad. Fue el primer gran ataque yihadista contra los no musulmanes que lideró Mahoma en su carrera militar, y tuvo lugar durante el Ramadán. Mahoma celebró la primera fiesta del “</w:t>
      </w:r>
      <w:proofErr w:type="spellStart"/>
      <w:proofErr w:type="gramStart"/>
      <w:r w:rsidRPr="00CF162B">
        <w:t>Eid</w:t>
      </w:r>
      <w:proofErr w:type="spellEnd"/>
      <w:r w:rsidRPr="00CF162B">
        <w:t xml:space="preserve"> ”</w:t>
      </w:r>
      <w:proofErr w:type="gramEnd"/>
      <w:r w:rsidRPr="00CF162B">
        <w:t xml:space="preserve"> al final del Ramadán, tras la batalla de </w:t>
      </w:r>
      <w:proofErr w:type="spellStart"/>
      <w:r w:rsidRPr="00CF162B">
        <w:t>Badr</w:t>
      </w:r>
      <w:proofErr w:type="spellEnd"/>
      <w:r w:rsidRPr="00CF162B">
        <w:t xml:space="preserve">, para conmemorar su victoria contra los mequíes. Se trata de una celebración del triunfo sobre los no musulmanes. Desde esta perspectiva, el Ramadán no es neutral, es un acto doctrinal con vínculos históricos con la expansión del poder político islámico. La yihad está respaldada por innumerables versículos del Corán, como el 2:216 (que ordena explícitamente luchar contra los no musulmanes). Según el Corán, Alá prefiere a aquellos que matan y son asesinados por su causa (4:95) y </w:t>
      </w:r>
      <w:proofErr w:type="gramStart"/>
      <w:r w:rsidRPr="00CF162B">
        <w:t>les</w:t>
      </w:r>
      <w:proofErr w:type="gramEnd"/>
      <w:r w:rsidRPr="00CF162B">
        <w:t xml:space="preserve"> concede la entrada al paraíso (3:169).</w:t>
      </w:r>
    </w:p>
    <w:p w14:paraId="772DFFD1" w14:textId="77777777" w:rsidR="0049500C" w:rsidRPr="00CF162B" w:rsidRDefault="0049500C" w:rsidP="0049500C">
      <w:pPr>
        <w:pStyle w:val="normal1"/>
        <w:spacing w:line="240" w:lineRule="auto"/>
        <w:ind w:left="720"/>
      </w:pPr>
    </w:p>
    <w:p w14:paraId="3ABBE52B" w14:textId="77777777" w:rsidR="0049500C" w:rsidRPr="00CF162B" w:rsidRDefault="0049500C" w:rsidP="0049500C">
      <w:pPr>
        <w:pStyle w:val="normal1"/>
        <w:numPr>
          <w:ilvl w:val="0"/>
          <w:numId w:val="1"/>
        </w:numPr>
        <w:spacing w:line="240" w:lineRule="auto"/>
      </w:pPr>
      <w:r w:rsidRPr="00CF162B">
        <w:rPr>
          <w:b/>
          <w:bCs/>
        </w:rPr>
        <w:t>Doctrina islámica y coexistencia:</w:t>
      </w:r>
      <w:r w:rsidRPr="00CF162B">
        <w:t xml:space="preserve"> Si bien los eventos interreligiosos aparentemente fomentan la armonía, la doctrina islámica considera tales compromisos como parte de la «</w:t>
      </w:r>
      <w:proofErr w:type="spellStart"/>
      <w:r w:rsidRPr="00CF162B">
        <w:t>dawa</w:t>
      </w:r>
      <w:proofErr w:type="spellEnd"/>
      <w:r w:rsidRPr="00CF162B">
        <w:t xml:space="preserve">» —una invitación estratégica al islam— más que un llamamiento a la coexistencia genuina. Más de la mitad (51%) de la doctrina islámica versa sobre cómo tratar a los no musulmanes—esto es Islam Político. En este 51%, a los musulmanes se los desalienta de hacer amistades entre los no musulmanes (Corán 3:28, 5:58, 4:144) y se les ordena hacer la yihad sobre los no musulmanes, hasta que el mundo completo se haya sometido a Mahoma y a Alá </w:t>
      </w:r>
      <w:r w:rsidRPr="00CF162B">
        <w:lastRenderedPageBreak/>
        <w:t xml:space="preserve">(Hadiz </w:t>
      </w:r>
      <w:proofErr w:type="spellStart"/>
      <w:r w:rsidRPr="00CF162B">
        <w:t>Bujari</w:t>
      </w:r>
      <w:proofErr w:type="spellEnd"/>
      <w:r w:rsidRPr="00CF162B">
        <w:t xml:space="preserve"> 2946, Corán 9:29). Entonces, la doctrina misma se interpone en el camino de la integración y la coexistencia.</w:t>
      </w:r>
    </w:p>
    <w:p w14:paraId="55538035" w14:textId="77777777" w:rsidR="0049500C" w:rsidRPr="00CF162B" w:rsidRDefault="0049500C" w:rsidP="0049500C">
      <w:pPr>
        <w:pStyle w:val="normal1"/>
        <w:spacing w:line="240" w:lineRule="auto"/>
        <w:ind w:left="720"/>
      </w:pPr>
    </w:p>
    <w:p w14:paraId="7F6A4612" w14:textId="77777777" w:rsidR="0049500C" w:rsidRPr="00CF162B" w:rsidRDefault="0049500C" w:rsidP="0049500C">
      <w:pPr>
        <w:pStyle w:val="normal1"/>
        <w:numPr>
          <w:ilvl w:val="0"/>
          <w:numId w:val="1"/>
        </w:numPr>
        <w:spacing w:line="240" w:lineRule="auto"/>
      </w:pPr>
      <w:r w:rsidRPr="00CF162B">
        <w:rPr>
          <w:b/>
          <w:bCs/>
        </w:rPr>
        <w:t>Fortalecimiento de la libertad de elección en el sector islámico:</w:t>
      </w:r>
      <w:r w:rsidRPr="00CF162B">
        <w:t xml:space="preserve"> En la sociedad islámica existe el miedo a abandonar el islam o a criticarlo. El temor proviene de la instrucción doctrinal islámica de matar a quien abandone el islam (</w:t>
      </w:r>
      <w:bookmarkStart w:id="0" w:name="__DdeLink__31_1207463509"/>
      <w:r w:rsidRPr="00CF162B">
        <w:t xml:space="preserve">Hadiz </w:t>
      </w:r>
      <w:proofErr w:type="spellStart"/>
      <w:r w:rsidRPr="00CF162B">
        <w:t>Bujari</w:t>
      </w:r>
      <w:proofErr w:type="spellEnd"/>
      <w:r w:rsidRPr="00CF162B">
        <w:t xml:space="preserve"> 6922</w:t>
      </w:r>
      <w:bookmarkEnd w:id="0"/>
      <w:r w:rsidRPr="00CF162B">
        <w:t xml:space="preserve">) o a quienes lo critiquen (Hadiz </w:t>
      </w:r>
      <w:proofErr w:type="spellStart"/>
      <w:r w:rsidRPr="00CF162B">
        <w:t>Bujari</w:t>
      </w:r>
      <w:proofErr w:type="spellEnd"/>
      <w:r w:rsidRPr="00CF162B">
        <w:t xml:space="preserve"> 3031). El fomento público del Ramadán refuerza el control de la coacción social y dificulta que los miembros de la comunidad islámica se liberen de las prácticas de la doctrina que son contrarias a sus valores. Abstenerse de apoyar públicamente el Ramadán ayudará a crear un espacio seguro para aquellos que buscan vivir sus vidas por fuera de la coerción de la doctrina islámica.</w:t>
      </w:r>
    </w:p>
    <w:p w14:paraId="2B0F120F" w14:textId="77777777" w:rsidR="0049500C" w:rsidRPr="00CF162B" w:rsidRDefault="0049500C" w:rsidP="0049500C">
      <w:pPr>
        <w:pStyle w:val="normal1"/>
        <w:spacing w:line="240" w:lineRule="auto"/>
        <w:ind w:left="720"/>
      </w:pPr>
    </w:p>
    <w:p w14:paraId="7C34841D" w14:textId="77777777" w:rsidR="0049500C" w:rsidRPr="00CF162B" w:rsidRDefault="0049500C" w:rsidP="0049500C">
      <w:pPr>
        <w:pStyle w:val="normal1"/>
        <w:numPr>
          <w:ilvl w:val="0"/>
          <w:numId w:val="1"/>
        </w:numPr>
        <w:spacing w:line="240" w:lineRule="auto"/>
        <w:ind w:left="714" w:hanging="357"/>
      </w:pPr>
      <w:r w:rsidRPr="00CF162B">
        <w:rPr>
          <w:b/>
          <w:bCs/>
        </w:rPr>
        <w:t xml:space="preserve">Las comidas compartidas del </w:t>
      </w:r>
      <w:proofErr w:type="spellStart"/>
      <w:r w:rsidRPr="00CF162B">
        <w:rPr>
          <w:b/>
          <w:bCs/>
        </w:rPr>
        <w:t>iftar</w:t>
      </w:r>
      <w:proofErr w:type="spellEnd"/>
      <w:r w:rsidRPr="00CF162B">
        <w:rPr>
          <w:b/>
          <w:bCs/>
        </w:rPr>
        <w:t>, son invitaciones al islam:</w:t>
      </w:r>
      <w:r w:rsidRPr="00CF162B">
        <w:t xml:space="preserve"> a menudo se invita a los no musulmanes a las comidas del </w:t>
      </w:r>
      <w:proofErr w:type="spellStart"/>
      <w:r w:rsidRPr="00CF162B">
        <w:t>iftar</w:t>
      </w:r>
      <w:proofErr w:type="spellEnd"/>
      <w:r w:rsidRPr="00CF162B">
        <w:t xml:space="preserve"> y a eventos públicos similares durante el Ramadán. Estas invitaciones tienen su fundamento en la </w:t>
      </w:r>
      <w:proofErr w:type="spellStart"/>
      <w:r w:rsidRPr="00CF162B">
        <w:t>dawa</w:t>
      </w:r>
      <w:proofErr w:type="spellEnd"/>
      <w:r w:rsidRPr="00CF162B">
        <w:t xml:space="preserve"> (la invitación al islam). La </w:t>
      </w:r>
      <w:proofErr w:type="spellStart"/>
      <w:r w:rsidRPr="00CF162B">
        <w:t>dawa</w:t>
      </w:r>
      <w:proofErr w:type="spellEnd"/>
      <w:r w:rsidRPr="00CF162B">
        <w:t xml:space="preserve"> busca la conversión o la sumisión al islam, por lo que no se trata de un intercambio cultural neutral. Compartir las comidas de </w:t>
      </w:r>
      <w:proofErr w:type="spellStart"/>
      <w:r w:rsidRPr="00CF162B">
        <w:t>iftar</w:t>
      </w:r>
      <w:proofErr w:type="spellEnd"/>
      <w:r w:rsidRPr="00CF162B">
        <w:t xml:space="preserve"> con no musulmanes se hace específicamente con el propósito de invitarlos al islam o reconciliar sus corazones con él, de lo contrario, no estaría permitido. Los no musulmanes que apoyan o asisten a estas celebraciones, especialmente en espacios islámicos (es decir, mezquitas y centros islámicos), promueven sin saberlo y legitiman involuntariamente muchas prácticas que la doctrina islámica considera normales: como el daño físico potencial por abandonar el islam (Hadiz </w:t>
      </w:r>
      <w:proofErr w:type="spellStart"/>
      <w:r w:rsidRPr="00CF162B">
        <w:t>Bukhari</w:t>
      </w:r>
      <w:proofErr w:type="spellEnd"/>
      <w:r w:rsidRPr="00CF162B">
        <w:t xml:space="preserve"> 6922, Corán 4:89-90), el matrimonio infantil (Hadiz </w:t>
      </w:r>
      <w:proofErr w:type="spellStart"/>
      <w:r w:rsidRPr="00CF162B">
        <w:t>Muslim</w:t>
      </w:r>
      <w:proofErr w:type="spellEnd"/>
      <w:r w:rsidRPr="00CF162B">
        <w:t xml:space="preserve"> 1422b, Hadiz </w:t>
      </w:r>
      <w:proofErr w:type="spellStart"/>
      <w:r w:rsidRPr="00CF162B">
        <w:t>Bujari</w:t>
      </w:r>
      <w:proofErr w:type="spellEnd"/>
      <w:r w:rsidRPr="00CF162B">
        <w:t xml:space="preserve"> 5133), el abuso y la opresión de las mujeres (Corán 33:59, 4:34), la mutilación genital femenina (Corán 30:30 → Hadiz </w:t>
      </w:r>
      <w:proofErr w:type="spellStart"/>
      <w:r w:rsidRPr="00CF162B">
        <w:t>Bujari</w:t>
      </w:r>
      <w:proofErr w:type="spellEnd"/>
      <w:r w:rsidRPr="00CF162B">
        <w:t xml:space="preserve"> 5891) o la esclavitud (sexual) (Hadiz </w:t>
      </w:r>
      <w:proofErr w:type="spellStart"/>
      <w:r w:rsidRPr="00CF162B">
        <w:t>Bujari</w:t>
      </w:r>
      <w:proofErr w:type="spellEnd"/>
      <w:r w:rsidRPr="00CF162B">
        <w:t xml:space="preserve"> 6603, Corán 4:3). </w:t>
      </w:r>
    </w:p>
    <w:p w14:paraId="05BD555C" w14:textId="77777777" w:rsidR="0049500C" w:rsidRPr="00CF162B" w:rsidRDefault="0049500C" w:rsidP="0049500C">
      <w:pPr>
        <w:pStyle w:val="normal1"/>
        <w:spacing w:line="240" w:lineRule="auto"/>
        <w:ind w:left="720"/>
      </w:pPr>
    </w:p>
    <w:p w14:paraId="4B805176" w14:textId="77777777" w:rsidR="0049500C" w:rsidRPr="00CF162B" w:rsidRDefault="0049500C" w:rsidP="0049500C">
      <w:pPr>
        <w:pStyle w:val="normal1"/>
        <w:spacing w:line="240" w:lineRule="auto"/>
        <w:ind w:left="720"/>
      </w:pPr>
      <w:r w:rsidRPr="00CF162B">
        <w:t xml:space="preserve">También cabe señalar que Mahoma concedía tanta importancia al trato con los diplomáticos no islámicos que una de sus últimas órdenes desde su lecho de muerte, fue que los musulmanes siguieran haciéndoles regalos (Hadiz, </w:t>
      </w:r>
      <w:proofErr w:type="spellStart"/>
      <w:r w:rsidRPr="00CF162B">
        <w:t>Bukhari</w:t>
      </w:r>
      <w:proofErr w:type="spellEnd"/>
      <w:r w:rsidRPr="00CF162B">
        <w:t xml:space="preserve"> 3053). Aceptar regalos e invitaciones de este tipo contribuye a crear la falsa impresión de que la doctrina islámica es amistosa con los no musulmanes.</w:t>
      </w:r>
    </w:p>
    <w:p w14:paraId="14C1E7B3" w14:textId="77777777" w:rsidR="0049500C" w:rsidRPr="00CF162B" w:rsidRDefault="0049500C" w:rsidP="0049500C">
      <w:pPr>
        <w:pStyle w:val="normal1"/>
        <w:spacing w:line="240" w:lineRule="auto"/>
        <w:ind w:left="720"/>
      </w:pPr>
    </w:p>
    <w:p w14:paraId="6DE26A9B" w14:textId="77777777" w:rsidR="0049500C" w:rsidRPr="00CF162B" w:rsidRDefault="0049500C" w:rsidP="0049500C">
      <w:pPr>
        <w:pStyle w:val="normal1"/>
        <w:spacing w:line="240" w:lineRule="auto"/>
      </w:pPr>
      <w:r w:rsidRPr="00CF162B">
        <w:rPr>
          <w:b/>
          <w:bCs/>
        </w:rPr>
        <w:t>Principio islámico de “</w:t>
      </w:r>
      <w:proofErr w:type="spellStart"/>
      <w:r w:rsidRPr="00CF162B">
        <w:rPr>
          <w:b/>
          <w:bCs/>
        </w:rPr>
        <w:t>darura</w:t>
      </w:r>
      <w:proofErr w:type="spellEnd"/>
      <w:r w:rsidRPr="00CF162B">
        <w:rPr>
          <w:b/>
          <w:bCs/>
        </w:rPr>
        <w:t>” (necesidad):</w:t>
      </w:r>
      <w:r w:rsidRPr="00CF162B">
        <w:t xml:space="preserve"> La doctrina y la ley islámicas permiten a los miembros de la comunidad islámica renunciar a las obligaciones del Ramadán cuando las circunstancias impiden su observancia. Por lo tanto, la falta de decoraciones o eventos </w:t>
      </w:r>
      <w:proofErr w:type="gramStart"/>
      <w:r w:rsidRPr="00CF162B">
        <w:t>públicos,</w:t>
      </w:r>
      <w:proofErr w:type="gramEnd"/>
      <w:r w:rsidRPr="00CF162B">
        <w:t xml:space="preserve"> no infringe la libertad religiosa.</w:t>
      </w:r>
    </w:p>
    <w:p w14:paraId="2220BF6F" w14:textId="77777777" w:rsidR="0049500C" w:rsidRPr="00CF162B" w:rsidRDefault="0049500C" w:rsidP="0049500C">
      <w:pPr>
        <w:pStyle w:val="normal1"/>
        <w:spacing w:line="240" w:lineRule="auto"/>
      </w:pPr>
    </w:p>
    <w:p w14:paraId="5D5CDA37" w14:textId="77777777" w:rsidR="0049500C" w:rsidRPr="00CF162B" w:rsidRDefault="0049500C" w:rsidP="0049500C">
      <w:pPr>
        <w:pStyle w:val="normal1"/>
        <w:spacing w:line="240" w:lineRule="auto"/>
      </w:pPr>
      <w:r w:rsidRPr="00CF162B">
        <w:t>En conclusión, abstenerse de promover públicamente el Ramadán reforzaría el compromiso de su ciudad con la inclusión y la auténtica sensibilidad cultural. Pedimos al Ayuntamiento/Alcaldía que considere cuidadosamente esta perspectiva.</w:t>
      </w:r>
    </w:p>
    <w:p w14:paraId="4E2C6877" w14:textId="77777777" w:rsidR="0049500C" w:rsidRPr="00CF162B" w:rsidRDefault="0049500C" w:rsidP="0049500C">
      <w:pPr>
        <w:pStyle w:val="normal1"/>
        <w:spacing w:line="240" w:lineRule="auto"/>
      </w:pPr>
    </w:p>
    <w:p w14:paraId="18B07A12" w14:textId="77777777" w:rsidR="0049500C" w:rsidRPr="00CF162B" w:rsidRDefault="0049500C" w:rsidP="0049500C">
      <w:pPr>
        <w:pStyle w:val="normal1"/>
        <w:spacing w:line="240" w:lineRule="auto"/>
      </w:pPr>
      <w:r w:rsidRPr="00CF162B">
        <w:t>Aquí encontrará el informe completo en inglés sobre el tema del Ramadán, si desea leer más: https://www.cspii.org/learn-political-islam/new-articles/ramadan-for-non-muslims-a-</w:t>
      </w:r>
    </w:p>
    <w:p w14:paraId="4547BA0A" w14:textId="77777777" w:rsidR="0049500C" w:rsidRPr="00CF162B" w:rsidRDefault="0049500C" w:rsidP="0049500C">
      <w:pPr>
        <w:pStyle w:val="normal1"/>
        <w:spacing w:line="240" w:lineRule="auto"/>
      </w:pPr>
      <w:proofErr w:type="spellStart"/>
      <w:r w:rsidRPr="00CF162B">
        <w:t>kafirs</w:t>
      </w:r>
      <w:proofErr w:type="spellEnd"/>
      <w:r w:rsidRPr="00CF162B">
        <w:t>-guide/</w:t>
      </w:r>
    </w:p>
    <w:p w14:paraId="6BB8DFA1" w14:textId="77777777" w:rsidR="0049500C" w:rsidRPr="00CF162B" w:rsidRDefault="0049500C" w:rsidP="0049500C">
      <w:pPr>
        <w:pStyle w:val="normal1"/>
        <w:spacing w:line="240" w:lineRule="auto"/>
      </w:pPr>
    </w:p>
    <w:p w14:paraId="2E682710" w14:textId="77777777" w:rsidR="0049500C" w:rsidRPr="00CF162B" w:rsidRDefault="0049500C" w:rsidP="0049500C">
      <w:pPr>
        <w:pStyle w:val="normal1"/>
        <w:spacing w:line="240" w:lineRule="auto"/>
      </w:pPr>
      <w:r w:rsidRPr="00CF162B">
        <w:t>Atentamente,</w:t>
      </w:r>
    </w:p>
    <w:p w14:paraId="0DA5163F" w14:textId="77777777" w:rsidR="006D17A3" w:rsidRDefault="006D17A3"/>
    <w:sectPr w:rsidR="006D17A3" w:rsidSect="0049500C">
      <w:pgSz w:w="11906" w:h="16838"/>
      <w:pgMar w:top="1440" w:right="1440" w:bottom="1440" w:left="1440" w:header="0" w:footer="0" w:gutter="0"/>
      <w:pgNumType w:start="1"/>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21B8"/>
    <w:multiLevelType w:val="multilevel"/>
    <w:tmpl w:val="AC7466CA"/>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num w:numId="1" w16cid:durableId="1180698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00C"/>
    <w:rsid w:val="0049500C"/>
    <w:rsid w:val="006D17A3"/>
    <w:rsid w:val="00A601F9"/>
    <w:rsid w:val="00AD54A0"/>
    <w:rsid w:val="00F5033B"/>
  </w:rsids>
  <m:mathPr>
    <m:mathFont m:val="Cambria Math"/>
    <m:brkBin m:val="before"/>
    <m:brkBinSub m:val="--"/>
    <m:smallFrac m:val="0"/>
    <m:dispDef/>
    <m:lMargin m:val="0"/>
    <m:rMargin m:val="0"/>
    <m:defJc m:val="centerGroup"/>
    <m:wrapIndent m:val="1440"/>
    <m:intLim m:val="subSup"/>
    <m:naryLim m:val="undOvr"/>
  </m:mathPr>
  <w:themeFontLang w:val="en-CZ"/>
  <w:clrSchemeMapping w:bg1="light1" w:t1="dark1" w:bg2="light2" w:t2="dark2" w:accent1="accent1" w:accent2="accent2" w:accent3="accent3" w:accent4="accent4" w:accent5="accent5" w:accent6="accent6" w:hyperlink="hyperlink" w:followedHyperlink="followedHyperlink"/>
  <w:decimalSymbol w:val=","/>
  <w:listSeparator w:val=","/>
  <w14:docId w14:val="1D48DB9F"/>
  <w15:chartTrackingRefBased/>
  <w15:docId w15:val="{E07B86EE-BA1E-A645-BA02-3E92800D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50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50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50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50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50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50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50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50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50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0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50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50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50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50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50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50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50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500C"/>
    <w:rPr>
      <w:rFonts w:eastAsiaTheme="majorEastAsia" w:cstheme="majorBidi"/>
      <w:color w:val="272727" w:themeColor="text1" w:themeTint="D8"/>
    </w:rPr>
  </w:style>
  <w:style w:type="paragraph" w:styleId="Title">
    <w:name w:val="Title"/>
    <w:basedOn w:val="Normal"/>
    <w:next w:val="Normal"/>
    <w:link w:val="TitleChar"/>
    <w:uiPriority w:val="10"/>
    <w:qFormat/>
    <w:rsid w:val="004950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50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500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50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50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9500C"/>
    <w:rPr>
      <w:i/>
      <w:iCs/>
      <w:color w:val="404040" w:themeColor="text1" w:themeTint="BF"/>
    </w:rPr>
  </w:style>
  <w:style w:type="paragraph" w:styleId="ListParagraph">
    <w:name w:val="List Paragraph"/>
    <w:basedOn w:val="Normal"/>
    <w:uiPriority w:val="34"/>
    <w:qFormat/>
    <w:rsid w:val="0049500C"/>
    <w:pPr>
      <w:ind w:left="720"/>
      <w:contextualSpacing/>
    </w:pPr>
  </w:style>
  <w:style w:type="character" w:styleId="IntenseEmphasis">
    <w:name w:val="Intense Emphasis"/>
    <w:basedOn w:val="DefaultParagraphFont"/>
    <w:uiPriority w:val="21"/>
    <w:qFormat/>
    <w:rsid w:val="0049500C"/>
    <w:rPr>
      <w:i/>
      <w:iCs/>
      <w:color w:val="0F4761" w:themeColor="accent1" w:themeShade="BF"/>
    </w:rPr>
  </w:style>
  <w:style w:type="paragraph" w:styleId="IntenseQuote">
    <w:name w:val="Intense Quote"/>
    <w:basedOn w:val="Normal"/>
    <w:next w:val="Normal"/>
    <w:link w:val="IntenseQuoteChar"/>
    <w:uiPriority w:val="30"/>
    <w:qFormat/>
    <w:rsid w:val="004950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500C"/>
    <w:rPr>
      <w:i/>
      <w:iCs/>
      <w:color w:val="0F4761" w:themeColor="accent1" w:themeShade="BF"/>
    </w:rPr>
  </w:style>
  <w:style w:type="character" w:styleId="IntenseReference">
    <w:name w:val="Intense Reference"/>
    <w:basedOn w:val="DefaultParagraphFont"/>
    <w:uiPriority w:val="32"/>
    <w:qFormat/>
    <w:rsid w:val="0049500C"/>
    <w:rPr>
      <w:b/>
      <w:bCs/>
      <w:smallCaps/>
      <w:color w:val="0F4761" w:themeColor="accent1" w:themeShade="BF"/>
      <w:spacing w:val="5"/>
    </w:rPr>
  </w:style>
  <w:style w:type="paragraph" w:customStyle="1" w:styleId="normal1">
    <w:name w:val="normal1"/>
    <w:qFormat/>
    <w:rsid w:val="0049500C"/>
    <w:pPr>
      <w:suppressAutoHyphens/>
      <w:spacing w:line="276" w:lineRule="auto"/>
    </w:pPr>
    <w:rPr>
      <w:rFonts w:ascii="Arial" w:eastAsia="Arial" w:hAnsi="Arial" w:cs="Arial"/>
      <w:kern w:val="0"/>
      <w:sz w:val="22"/>
      <w:szCs w:val="22"/>
      <w:lang w:val="es-E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1021</Words>
  <Characters>5478</Characters>
  <Application>Microsoft Office Word</Application>
  <DocSecurity>0</DocSecurity>
  <Lines>103</Lines>
  <Paragraphs>25</Paragraphs>
  <ScaleCrop>false</ScaleCrop>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Podlipný</dc:creator>
  <cp:keywords/>
  <dc:description/>
  <cp:lastModifiedBy>Milan Podlipný</cp:lastModifiedBy>
  <cp:revision>1</cp:revision>
  <dcterms:created xsi:type="dcterms:W3CDTF">2026-02-20T21:29:00Z</dcterms:created>
  <dcterms:modified xsi:type="dcterms:W3CDTF">2026-02-20T21:29:00Z</dcterms:modified>
</cp:coreProperties>
</file>